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EC" w:rsidRPr="00F64CEC" w:rsidRDefault="00F64CEC" w:rsidP="00F64CEC">
      <w:pPr>
        <w:widowControl w:val="0"/>
        <w:autoSpaceDE w:val="0"/>
        <w:autoSpaceDN w:val="0"/>
        <w:adjustRightInd w:val="0"/>
        <w:jc w:val="both"/>
        <w:rPr>
          <w:b/>
          <w:color w:val="042E5B"/>
          <w:sz w:val="24"/>
          <w:szCs w:val="24"/>
        </w:rPr>
      </w:pPr>
      <w:bookmarkStart w:id="0" w:name="_GoBack"/>
      <w:r w:rsidRPr="00F64CEC">
        <w:rPr>
          <w:b/>
          <w:color w:val="042E5B"/>
          <w:sz w:val="24"/>
          <w:szCs w:val="24"/>
        </w:rPr>
        <w:t>A simple, bubble-free cell loading technique for culturing mammalian cells on lab-on-a-chip devices</w:t>
      </w:r>
    </w:p>
    <w:bookmarkEnd w:id="0"/>
    <w:p w:rsidR="00F64CEC" w:rsidRPr="00F64CEC" w:rsidRDefault="00F64CEC" w:rsidP="00F64CEC">
      <w:pPr>
        <w:widowControl w:val="0"/>
        <w:autoSpaceDE w:val="0"/>
        <w:autoSpaceDN w:val="0"/>
        <w:adjustRightInd w:val="0"/>
        <w:jc w:val="both"/>
        <w:rPr>
          <w:color w:val="434343"/>
          <w:sz w:val="24"/>
          <w:szCs w:val="24"/>
        </w:rPr>
      </w:pPr>
      <w:r w:rsidRPr="00F64CEC">
        <w:rPr>
          <w:color w:val="434343"/>
          <w:sz w:val="24"/>
          <w:szCs w:val="24"/>
        </w:rPr>
        <w:t>28 Feb 2017</w:t>
      </w:r>
    </w:p>
    <w:p w:rsidR="00F64CEC" w:rsidRPr="00F64CEC" w:rsidRDefault="00F64CEC" w:rsidP="00F64CEC">
      <w:pPr>
        <w:widowControl w:val="0"/>
        <w:autoSpaceDE w:val="0"/>
        <w:autoSpaceDN w:val="0"/>
        <w:adjustRightInd w:val="0"/>
        <w:jc w:val="both"/>
        <w:rPr>
          <w:color w:val="auto"/>
          <w:sz w:val="24"/>
          <w:szCs w:val="24"/>
        </w:rPr>
      </w:pPr>
      <w:proofErr w:type="gramStart"/>
      <w:r w:rsidRPr="00F64CEC">
        <w:rPr>
          <w:color w:val="auto"/>
          <w:sz w:val="24"/>
          <w:szCs w:val="24"/>
        </w:rPr>
        <w:t xml:space="preserve">By </w:t>
      </w:r>
      <w:hyperlink r:id="rId6" w:history="1">
        <w:r w:rsidRPr="00F64CEC">
          <w:rPr>
            <w:color w:val="06346F"/>
            <w:sz w:val="24"/>
            <w:szCs w:val="24"/>
          </w:rPr>
          <w:t>Georgina Edwards, Editorial Assistant</w:t>
        </w:r>
      </w:hyperlink>
      <w:r w:rsidRPr="00F64CEC">
        <w:rPr>
          <w:color w:val="auto"/>
          <w:sz w:val="24"/>
          <w:szCs w:val="24"/>
        </w:rPr>
        <w:t>.</w:t>
      </w:r>
      <w:proofErr w:type="gramEnd"/>
    </w:p>
    <w:p w:rsidR="00F64CEC" w:rsidRPr="00F64CEC" w:rsidRDefault="00F64CEC" w:rsidP="00F64CEC">
      <w:pPr>
        <w:widowControl w:val="0"/>
        <w:autoSpaceDE w:val="0"/>
        <w:autoSpaceDN w:val="0"/>
        <w:adjustRightInd w:val="0"/>
        <w:jc w:val="both"/>
        <w:rPr>
          <w:color w:val="auto"/>
          <w:sz w:val="24"/>
          <w:szCs w:val="24"/>
        </w:rPr>
      </w:pPr>
      <w:proofErr w:type="spellStart"/>
      <w:r w:rsidRPr="00F64CEC">
        <w:rPr>
          <w:color w:val="auto"/>
          <w:sz w:val="24"/>
          <w:szCs w:val="24"/>
        </w:rPr>
        <w:t>Sahl</w:t>
      </w:r>
      <w:proofErr w:type="spellEnd"/>
      <w:r w:rsidRPr="00F64CEC">
        <w:rPr>
          <w:color w:val="auto"/>
          <w:sz w:val="24"/>
          <w:szCs w:val="24"/>
        </w:rPr>
        <w:t xml:space="preserve"> Sadeghi</w:t>
      </w:r>
      <w:r w:rsidRPr="00F64CEC">
        <w:rPr>
          <w:color w:val="auto"/>
          <w:sz w:val="24"/>
          <w:szCs w:val="24"/>
          <w:vertAlign w:val="superscript"/>
        </w:rPr>
        <w:t>1­*</w:t>
      </w:r>
      <w:r w:rsidRPr="00F64CEC">
        <w:rPr>
          <w:color w:val="auto"/>
          <w:sz w:val="24"/>
          <w:szCs w:val="24"/>
        </w:rPr>
        <w:t xml:space="preserve"> and Meltem Elitas</w:t>
      </w:r>
      <w:r w:rsidRPr="00F64CEC">
        <w:rPr>
          <w:color w:val="auto"/>
          <w:sz w:val="24"/>
          <w:szCs w:val="24"/>
          <w:vertAlign w:val="superscript"/>
        </w:rPr>
        <w:t>1</w:t>
      </w:r>
    </w:p>
    <w:p w:rsidR="00F64CEC" w:rsidRPr="00F64CEC" w:rsidRDefault="00F64CEC" w:rsidP="00F64CEC">
      <w:pPr>
        <w:widowControl w:val="0"/>
        <w:autoSpaceDE w:val="0"/>
        <w:autoSpaceDN w:val="0"/>
        <w:adjustRightInd w:val="0"/>
        <w:jc w:val="both"/>
        <w:rPr>
          <w:color w:val="auto"/>
          <w:sz w:val="24"/>
          <w:szCs w:val="24"/>
        </w:rPr>
      </w:pPr>
      <w:r w:rsidRPr="00F64CEC">
        <w:rPr>
          <w:color w:val="auto"/>
          <w:sz w:val="24"/>
          <w:szCs w:val="24"/>
          <w:vertAlign w:val="superscript"/>
        </w:rPr>
        <w:t>1</w:t>
      </w:r>
      <w:r w:rsidRPr="00F64CEC">
        <w:rPr>
          <w:color w:val="auto"/>
          <w:sz w:val="24"/>
          <w:szCs w:val="24"/>
        </w:rPr>
        <w:t xml:space="preserve"> Faculty of Engineering and Natural Sciences, </w:t>
      </w:r>
      <w:proofErr w:type="spellStart"/>
      <w:r w:rsidRPr="00F64CEC">
        <w:rPr>
          <w:color w:val="auto"/>
          <w:sz w:val="24"/>
          <w:szCs w:val="24"/>
        </w:rPr>
        <w:t>Sabanci</w:t>
      </w:r>
      <w:proofErr w:type="spellEnd"/>
      <w:r w:rsidRPr="00F64CEC">
        <w:rPr>
          <w:color w:val="auto"/>
          <w:sz w:val="24"/>
          <w:szCs w:val="24"/>
        </w:rPr>
        <w:t xml:space="preserve"> University, 34956, Istanbul, Turkey</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color w:val="auto"/>
          <w:sz w:val="24"/>
          <w:szCs w:val="24"/>
          <w:vertAlign w:val="superscript"/>
        </w:rPr>
        <w:t xml:space="preserve">* </w:t>
      </w:r>
      <w:proofErr w:type="spellStart"/>
      <w:r w:rsidRPr="00F64CEC">
        <w:rPr>
          <w:color w:val="auto"/>
          <w:sz w:val="24"/>
          <w:szCs w:val="24"/>
        </w:rPr>
        <w:t>Sahl</w:t>
      </w:r>
      <w:proofErr w:type="spellEnd"/>
      <w:r w:rsidRPr="00F64CEC">
        <w:rPr>
          <w:color w:val="auto"/>
          <w:sz w:val="24"/>
          <w:szCs w:val="24"/>
        </w:rPr>
        <w:t xml:space="preserve"> </w:t>
      </w:r>
      <w:proofErr w:type="spellStart"/>
      <w:r w:rsidRPr="00F64CEC">
        <w:rPr>
          <w:color w:val="auto"/>
          <w:sz w:val="24"/>
          <w:szCs w:val="24"/>
        </w:rPr>
        <w:t>Sadeghi</w:t>
      </w:r>
      <w:proofErr w:type="spellEnd"/>
      <w:r w:rsidRPr="00F64CEC">
        <w:rPr>
          <w:color w:val="auto"/>
          <w:sz w:val="24"/>
          <w:szCs w:val="24"/>
        </w:rPr>
        <w:t xml:space="preserve"> wrote the paper</w:t>
      </w:r>
      <w:r w:rsidRPr="00F64CEC">
        <w:rPr>
          <w:i w:val="0"/>
          <w:iCs w:val="0"/>
          <w:color w:val="auto"/>
          <w:sz w:val="24"/>
          <w:szCs w:val="24"/>
        </w:rPr>
        <w:t>.</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u w:val="single"/>
        </w:rPr>
        <w:t>Purpose</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xml:space="preserve">Lab-on-a-chip (LOC) devices significantly contribute different disciplines of science. </w:t>
      </w:r>
      <w:proofErr w:type="spellStart"/>
      <w:r w:rsidRPr="00F64CEC">
        <w:rPr>
          <w:i w:val="0"/>
          <w:iCs w:val="0"/>
          <w:color w:val="auto"/>
          <w:sz w:val="24"/>
          <w:szCs w:val="24"/>
        </w:rPr>
        <w:t>Polydimethylsiloxane</w:t>
      </w:r>
      <w:proofErr w:type="spellEnd"/>
      <w:r w:rsidRPr="00F64CEC">
        <w:rPr>
          <w:i w:val="0"/>
          <w:iCs w:val="0"/>
          <w:color w:val="auto"/>
          <w:sz w:val="24"/>
          <w:szCs w:val="24"/>
        </w:rPr>
        <w:t xml:space="preserve"> (PDMS) is one of the main materials, which is widely used for the fabrication of biological LOCs, due to its biocompatibility and ease of use. However, PDMS and some other polymeric materials are intrinsically water repellant (or hydrophobic), which results in difficulties in loading and operating LOCs. The eminent consequence of hydrophobicity in LOCs for biological systems is the entrapment of air bubbles in microfluidic channels. Although the oxygen plasma treatment of PDMS reduces the surface hydrophobicity for a certain period of time, the hydrophilic property of PDMS vanishes over time</w:t>
      </w:r>
      <w:r w:rsidRPr="00F64CEC">
        <w:rPr>
          <w:i w:val="0"/>
          <w:iCs w:val="0"/>
          <w:color w:val="06346F"/>
          <w:sz w:val="24"/>
          <w:szCs w:val="24"/>
          <w:vertAlign w:val="superscript"/>
        </w:rPr>
        <w:t>1</w:t>
      </w:r>
      <w:r w:rsidRPr="00F64CEC">
        <w:rPr>
          <w:i w:val="0"/>
          <w:iCs w:val="0"/>
          <w:color w:val="auto"/>
          <w:sz w:val="24"/>
          <w:szCs w:val="24"/>
        </w:rPr>
        <w:t>. The persistent problem of bubbles in the microfluidics led to several studies conducted to overcome it. Some of these solutions suggested implementing bubble traps</w:t>
      </w:r>
      <w:r w:rsidRPr="00F64CEC">
        <w:rPr>
          <w:i w:val="0"/>
          <w:iCs w:val="0"/>
          <w:color w:val="06346F"/>
          <w:sz w:val="24"/>
          <w:szCs w:val="24"/>
          <w:vertAlign w:val="superscript"/>
        </w:rPr>
        <w:t>2</w:t>
      </w:r>
      <w:proofErr w:type="gramStart"/>
      <w:r w:rsidRPr="00F64CEC">
        <w:rPr>
          <w:i w:val="0"/>
          <w:iCs w:val="0"/>
          <w:color w:val="auto"/>
          <w:sz w:val="24"/>
          <w:szCs w:val="24"/>
          <w:vertAlign w:val="superscript"/>
        </w:rPr>
        <w:t>,</w:t>
      </w:r>
      <w:r w:rsidRPr="00F64CEC">
        <w:rPr>
          <w:i w:val="0"/>
          <w:iCs w:val="0"/>
          <w:color w:val="06346F"/>
          <w:sz w:val="24"/>
          <w:szCs w:val="24"/>
          <w:vertAlign w:val="superscript"/>
        </w:rPr>
        <w:t>3</w:t>
      </w:r>
      <w:proofErr w:type="gramEnd"/>
      <w:r w:rsidRPr="00F64CEC">
        <w:rPr>
          <w:i w:val="0"/>
          <w:iCs w:val="0"/>
          <w:color w:val="auto"/>
          <w:sz w:val="24"/>
          <w:szCs w:val="24"/>
        </w:rPr>
        <w:t>, surface treatment of LOCs through hydrophilic coatings</w:t>
      </w:r>
      <w:r w:rsidRPr="00F64CEC">
        <w:rPr>
          <w:i w:val="0"/>
          <w:iCs w:val="0"/>
          <w:color w:val="06346F"/>
          <w:sz w:val="24"/>
          <w:szCs w:val="24"/>
          <w:vertAlign w:val="superscript"/>
        </w:rPr>
        <w:t>4</w:t>
      </w:r>
      <w:r w:rsidRPr="00F64CEC">
        <w:rPr>
          <w:i w:val="0"/>
          <w:iCs w:val="0"/>
          <w:color w:val="auto"/>
          <w:sz w:val="24"/>
          <w:szCs w:val="24"/>
        </w:rPr>
        <w:t xml:space="preserve">, and using actively controlled bubble removal systems </w:t>
      </w:r>
      <w:r w:rsidRPr="00F64CEC">
        <w:rPr>
          <w:i w:val="0"/>
          <w:iCs w:val="0"/>
          <w:color w:val="06346F"/>
          <w:sz w:val="24"/>
          <w:szCs w:val="24"/>
          <w:vertAlign w:val="superscript"/>
        </w:rPr>
        <w:t>5</w:t>
      </w:r>
      <w:r w:rsidRPr="00F64CEC">
        <w:rPr>
          <w:i w:val="0"/>
          <w:iCs w:val="0"/>
          <w:color w:val="auto"/>
          <w:sz w:val="24"/>
          <w:szCs w:val="24"/>
          <w:vertAlign w:val="superscript"/>
        </w:rPr>
        <w:t>,</w:t>
      </w:r>
      <w:r w:rsidRPr="00F64CEC">
        <w:rPr>
          <w:i w:val="0"/>
          <w:iCs w:val="0"/>
          <w:color w:val="06346F"/>
          <w:sz w:val="24"/>
          <w:szCs w:val="24"/>
          <w:vertAlign w:val="superscript"/>
        </w:rPr>
        <w:t>6</w:t>
      </w:r>
      <w:r w:rsidRPr="00F64CEC">
        <w:rPr>
          <w:i w:val="0"/>
          <w:iCs w:val="0"/>
          <w:color w:val="auto"/>
          <w:sz w:val="24"/>
          <w:szCs w:val="24"/>
        </w:rPr>
        <w:t>.</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Although the aforementioned design complexities are introduced to LOCs in order to reduce the clogging problem caused by the bubbles, these modifications also result in higher production cost, complex operation, and long device preparation time. In many single-cell experiments without losing or damaging the rare cells, these cells needs to be introduce into the LOCs. Here, we present a simple method that enables loading a small number of cells without introducing bubbles in the microfluidics channels.</w:t>
      </w:r>
    </w:p>
    <w:p w:rsidR="00F64CEC" w:rsidRPr="00F64CEC" w:rsidRDefault="00F64CEC" w:rsidP="00F64CEC">
      <w:pPr>
        <w:widowControl w:val="0"/>
        <w:autoSpaceDE w:val="0"/>
        <w:autoSpaceDN w:val="0"/>
        <w:adjustRightInd w:val="0"/>
        <w:jc w:val="both"/>
        <w:rPr>
          <w:i w:val="0"/>
          <w:iCs w:val="0"/>
          <w:color w:val="auto"/>
          <w:sz w:val="24"/>
          <w:szCs w:val="24"/>
        </w:rPr>
      </w:pP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u w:val="single"/>
        </w:rPr>
        <w:t>Materials</w:t>
      </w:r>
    </w:p>
    <w:tbl>
      <w:tblPr>
        <w:tblW w:w="0" w:type="auto"/>
        <w:tblBorders>
          <w:top w:val="nil"/>
          <w:left w:val="nil"/>
          <w:right w:val="nil"/>
        </w:tblBorders>
        <w:tblLayout w:type="fixed"/>
        <w:tblLook w:val="0000" w:firstRow="0" w:lastRow="0" w:firstColumn="0" w:lastColumn="0" w:noHBand="0" w:noVBand="0"/>
      </w:tblPr>
      <w:tblGrid>
        <w:gridCol w:w="4440"/>
        <w:gridCol w:w="6040"/>
      </w:tblGrid>
      <w:tr w:rsidR="00F64CEC" w:rsidRPr="00F64CEC">
        <w:tblPrEx>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PDMS</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xml:space="preserve">(Dow Corning </w:t>
            </w:r>
            <w:proofErr w:type="spellStart"/>
            <w:r w:rsidRPr="00F64CEC">
              <w:rPr>
                <w:i w:val="0"/>
                <w:iCs w:val="0"/>
                <w:color w:val="auto"/>
                <w:sz w:val="24"/>
                <w:szCs w:val="24"/>
              </w:rPr>
              <w:t>Sylgard</w:t>
            </w:r>
            <w:proofErr w:type="spellEnd"/>
            <w:r w:rsidRPr="00F64CEC">
              <w:rPr>
                <w:i w:val="0"/>
                <w:iCs w:val="0"/>
                <w:color w:val="auto"/>
                <w:sz w:val="24"/>
                <w:szCs w:val="24"/>
              </w:rPr>
              <w:t xml:space="preserve"> 184 Silicon Elastomer Kit)</w:t>
            </w:r>
          </w:p>
        </w:tc>
      </w:tr>
      <w:tr w:rsidR="00F64CEC" w:rsidRPr="00F64CEC">
        <w:tblPrEx>
          <w:tblBorders>
            <w:top w:val="none" w:sz="0" w:space="0" w:color="auto"/>
          </w:tblBorders>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Pipette tips</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xml:space="preserve">(20-200 </w:t>
            </w:r>
            <w:proofErr w:type="spellStart"/>
            <w:r w:rsidRPr="00F64CEC">
              <w:rPr>
                <w:i w:val="0"/>
                <w:iCs w:val="0"/>
                <w:color w:val="auto"/>
                <w:sz w:val="24"/>
                <w:szCs w:val="24"/>
              </w:rPr>
              <w:t>ul</w:t>
            </w:r>
            <w:proofErr w:type="spellEnd"/>
            <w:r w:rsidRPr="00F64CEC">
              <w:rPr>
                <w:i w:val="0"/>
                <w:iCs w:val="0"/>
                <w:color w:val="auto"/>
                <w:sz w:val="24"/>
                <w:szCs w:val="24"/>
              </w:rPr>
              <w:t xml:space="preserve">, </w:t>
            </w:r>
            <w:proofErr w:type="spellStart"/>
            <w:r w:rsidRPr="00F64CEC">
              <w:rPr>
                <w:i w:val="0"/>
                <w:iCs w:val="0"/>
                <w:color w:val="auto"/>
                <w:sz w:val="24"/>
                <w:szCs w:val="24"/>
              </w:rPr>
              <w:t>Eppendorf</w:t>
            </w:r>
            <w:proofErr w:type="spellEnd"/>
            <w:r w:rsidRPr="00F64CEC">
              <w:rPr>
                <w:i w:val="0"/>
                <w:iCs w:val="0"/>
                <w:color w:val="auto"/>
                <w:sz w:val="24"/>
                <w:szCs w:val="24"/>
              </w:rPr>
              <w:t>, # 3120000917)</w:t>
            </w:r>
          </w:p>
        </w:tc>
      </w:tr>
      <w:tr w:rsidR="00F64CEC" w:rsidRPr="00F64CEC">
        <w:tblPrEx>
          <w:tblBorders>
            <w:top w:val="none" w:sz="0" w:space="0" w:color="auto"/>
          </w:tblBorders>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xml:space="preserve">·         </w:t>
            </w:r>
            <w:proofErr w:type="spellStart"/>
            <w:r w:rsidRPr="00F64CEC">
              <w:rPr>
                <w:i w:val="0"/>
                <w:iCs w:val="0"/>
                <w:color w:val="auto"/>
                <w:sz w:val="24"/>
                <w:szCs w:val="24"/>
              </w:rPr>
              <w:t>Pipetman</w:t>
            </w:r>
            <w:proofErr w:type="spellEnd"/>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(Gilson, P200, #69989-5)</w:t>
            </w:r>
          </w:p>
        </w:tc>
      </w:tr>
      <w:tr w:rsidR="00F64CEC" w:rsidRPr="00F64CEC">
        <w:tblPrEx>
          <w:tblBorders>
            <w:top w:val="none" w:sz="0" w:space="0" w:color="auto"/>
          </w:tblBorders>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Aqueous ethanol 70%</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(ZAG Chemistry)</w:t>
            </w:r>
          </w:p>
        </w:tc>
      </w:tr>
      <w:tr w:rsidR="00F64CEC" w:rsidRPr="00F64CEC">
        <w:tblPrEx>
          <w:tblBorders>
            <w:top w:val="none" w:sz="0" w:space="0" w:color="auto"/>
          </w:tblBorders>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Cell culture medium</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(DMEM, PAN Biotech, #P04-01548)</w:t>
            </w:r>
          </w:p>
        </w:tc>
      </w:tr>
      <w:tr w:rsidR="00F64CEC" w:rsidRPr="00F64CEC">
        <w:tblPrEx>
          <w:tblBorders>
            <w:top w:val="none" w:sz="0" w:space="0" w:color="auto"/>
          </w:tblBorders>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Mammalian cells</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(MCF7, ATCC-HTB-22)</w:t>
            </w:r>
          </w:p>
        </w:tc>
      </w:tr>
      <w:tr w:rsidR="00F64CEC" w:rsidRPr="00F64CEC">
        <w:tblPrEx>
          <w:tblBorders>
            <w:top w:val="none" w:sz="0" w:space="0" w:color="auto"/>
          </w:tblBorders>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Sterile syringe</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xml:space="preserve">(BD 10 ml Syringe, </w:t>
            </w:r>
            <w:proofErr w:type="spellStart"/>
            <w:r w:rsidRPr="00F64CEC">
              <w:rPr>
                <w:i w:val="0"/>
                <w:iCs w:val="0"/>
                <w:color w:val="auto"/>
                <w:sz w:val="24"/>
                <w:szCs w:val="24"/>
              </w:rPr>
              <w:t>Luer-Lok</w:t>
            </w:r>
            <w:proofErr w:type="spellEnd"/>
            <w:r w:rsidRPr="00F64CEC">
              <w:rPr>
                <w:i w:val="0"/>
                <w:iCs w:val="0"/>
                <w:color w:val="auto"/>
                <w:sz w:val="24"/>
                <w:szCs w:val="24"/>
              </w:rPr>
              <w:t xml:space="preserve"> Tip, #300912)</w:t>
            </w:r>
          </w:p>
        </w:tc>
      </w:tr>
      <w:tr w:rsidR="00F64CEC" w:rsidRPr="00F64CEC">
        <w:tblPrEx>
          <w:tblCellMar>
            <w:top w:w="0" w:type="dxa"/>
            <w:bottom w:w="0" w:type="dxa"/>
          </w:tblCellMar>
        </w:tblPrEx>
        <w:tc>
          <w:tcPr>
            <w:tcW w:w="44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Sterile Hamilton syringe</w:t>
            </w:r>
          </w:p>
        </w:tc>
        <w:tc>
          <w:tcPr>
            <w:tcW w:w="6040" w:type="dxa"/>
            <w:tcMar>
              <w:top w:w="20" w:type="nil"/>
              <w:left w:w="20" w:type="nil"/>
              <w:bottom w:w="20" w:type="nil"/>
              <w:right w:w="20" w:type="nil"/>
            </w:tcMar>
            <w:vAlign w:val="center"/>
          </w:tcPr>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xml:space="preserve">(Hamilton, 100 </w:t>
            </w:r>
            <w:proofErr w:type="spellStart"/>
            <w:r w:rsidRPr="00F64CEC">
              <w:rPr>
                <w:i w:val="0"/>
                <w:iCs w:val="0"/>
                <w:color w:val="auto"/>
                <w:sz w:val="24"/>
                <w:szCs w:val="24"/>
              </w:rPr>
              <w:t>ul</w:t>
            </w:r>
            <w:proofErr w:type="spellEnd"/>
            <w:r w:rsidRPr="00F64CEC">
              <w:rPr>
                <w:i w:val="0"/>
                <w:iCs w:val="0"/>
                <w:color w:val="auto"/>
                <w:sz w:val="24"/>
                <w:szCs w:val="24"/>
              </w:rPr>
              <w:t xml:space="preserve"> SYR, #84884)</w:t>
            </w:r>
          </w:p>
        </w:tc>
      </w:tr>
    </w:tbl>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u w:val="single"/>
        </w:rPr>
        <w:t>Procedure</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1:</w:t>
      </w:r>
      <w:r w:rsidRPr="00F64CEC">
        <w:rPr>
          <w:i w:val="0"/>
          <w:iCs w:val="0"/>
          <w:color w:val="auto"/>
          <w:sz w:val="24"/>
          <w:szCs w:val="24"/>
        </w:rPr>
        <w:t xml:space="preserve"> Insert two 200-ul pipet tips at the inlet and outlet ports of the PDMS device as illustrated in </w:t>
      </w:r>
      <w:r w:rsidRPr="00F64CEC">
        <w:rPr>
          <w:b/>
          <w:bCs/>
          <w:i w:val="0"/>
          <w:iCs w:val="0"/>
          <w:color w:val="auto"/>
          <w:sz w:val="24"/>
          <w:szCs w:val="24"/>
        </w:rPr>
        <w:t>Figure 1</w:t>
      </w:r>
      <w:r w:rsidRPr="00F64CEC">
        <w:rPr>
          <w:i w:val="0"/>
          <w:iCs w:val="0"/>
          <w:color w:val="auto"/>
          <w:sz w:val="24"/>
          <w:szCs w:val="24"/>
        </w:rPr>
        <w:t>.</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2:</w:t>
      </w:r>
      <w:r w:rsidRPr="00F64CEC">
        <w:rPr>
          <w:i w:val="0"/>
          <w:iCs w:val="0"/>
          <w:color w:val="auto"/>
          <w:sz w:val="24"/>
          <w:szCs w:val="24"/>
        </w:rPr>
        <w:t xml:space="preserve"> Introduce a 70% aqueous ethanol into the inlet-pipet tip using a </w:t>
      </w:r>
      <w:proofErr w:type="spellStart"/>
      <w:r w:rsidRPr="00F64CEC">
        <w:rPr>
          <w:i w:val="0"/>
          <w:iCs w:val="0"/>
          <w:color w:val="auto"/>
          <w:sz w:val="24"/>
          <w:szCs w:val="24"/>
        </w:rPr>
        <w:t>pipetman</w:t>
      </w:r>
      <w:proofErr w:type="spellEnd"/>
      <w:r w:rsidRPr="00F64CEC">
        <w:rPr>
          <w:i w:val="0"/>
          <w:iCs w:val="0"/>
          <w:color w:val="auto"/>
          <w:sz w:val="24"/>
          <w:szCs w:val="24"/>
        </w:rPr>
        <w:t>. Thus, the inner surface of microfluidic channels will be disinfected and the fluid flow will be tested within the micro channels as it is applied in many other protocols for LOCs</w:t>
      </w:r>
      <w:r w:rsidRPr="00F64CEC">
        <w:rPr>
          <w:i w:val="0"/>
          <w:iCs w:val="0"/>
          <w:color w:val="06346F"/>
          <w:sz w:val="24"/>
          <w:szCs w:val="24"/>
          <w:vertAlign w:val="superscript"/>
        </w:rPr>
        <w:t>7</w:t>
      </w:r>
      <w:proofErr w:type="gramStart"/>
      <w:r w:rsidRPr="00F64CEC">
        <w:rPr>
          <w:i w:val="0"/>
          <w:iCs w:val="0"/>
          <w:color w:val="auto"/>
          <w:sz w:val="24"/>
          <w:szCs w:val="24"/>
          <w:vertAlign w:val="superscript"/>
        </w:rPr>
        <w:t>,</w:t>
      </w:r>
      <w:r w:rsidRPr="00F64CEC">
        <w:rPr>
          <w:i w:val="0"/>
          <w:iCs w:val="0"/>
          <w:color w:val="06346F"/>
          <w:sz w:val="24"/>
          <w:szCs w:val="24"/>
          <w:vertAlign w:val="superscript"/>
        </w:rPr>
        <w:t>8</w:t>
      </w:r>
      <w:proofErr w:type="gramEnd"/>
      <w:r w:rsidRPr="00F64CEC">
        <w:rPr>
          <w:i w:val="0"/>
          <w:iCs w:val="0"/>
          <w:color w:val="auto"/>
          <w:sz w:val="24"/>
          <w:szCs w:val="24"/>
        </w:rPr>
        <w:t>.</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3:</w:t>
      </w:r>
      <w:r w:rsidRPr="00F64CEC">
        <w:rPr>
          <w:i w:val="0"/>
          <w:iCs w:val="0"/>
          <w:color w:val="auto"/>
          <w:sz w:val="24"/>
          <w:szCs w:val="24"/>
        </w:rPr>
        <w:t xml:space="preserve"> Gently apply pressure pressing the </w:t>
      </w:r>
      <w:proofErr w:type="spellStart"/>
      <w:r w:rsidRPr="00F64CEC">
        <w:rPr>
          <w:i w:val="0"/>
          <w:iCs w:val="0"/>
          <w:color w:val="auto"/>
          <w:sz w:val="24"/>
          <w:szCs w:val="24"/>
        </w:rPr>
        <w:t>pipetman</w:t>
      </w:r>
      <w:proofErr w:type="spellEnd"/>
      <w:r w:rsidRPr="00F64CEC">
        <w:rPr>
          <w:i w:val="0"/>
          <w:iCs w:val="0"/>
          <w:color w:val="auto"/>
          <w:sz w:val="24"/>
          <w:szCs w:val="24"/>
        </w:rPr>
        <w:t xml:space="preserve"> to force ethanol solution flow through the micro channels and cavities of the PDMS device. Take care to avoid applying negative pressure from the outlet-pipet tip, which might create air leakage through the pipet connections. Besides, applying a negative pressure will directly affect the amount of a gas dissolved in the liquid according to Henry’s law</w:t>
      </w:r>
      <w:r w:rsidRPr="00F64CEC">
        <w:rPr>
          <w:i w:val="0"/>
          <w:iCs w:val="0"/>
          <w:color w:val="auto"/>
          <w:sz w:val="24"/>
          <w:szCs w:val="24"/>
          <w:vertAlign w:val="superscript"/>
        </w:rPr>
        <w:t>9</w:t>
      </w:r>
      <w:r w:rsidRPr="00F64CEC">
        <w:rPr>
          <w:i w:val="0"/>
          <w:iCs w:val="0"/>
          <w:color w:val="auto"/>
          <w:sz w:val="24"/>
          <w:szCs w:val="24"/>
        </w:rPr>
        <w:t xml:space="preserve"> that might contribute formation of more bubbles inside the micro-</w:t>
      </w:r>
      <w:r w:rsidRPr="00F64CEC">
        <w:rPr>
          <w:i w:val="0"/>
          <w:iCs w:val="0"/>
          <w:color w:val="auto"/>
          <w:sz w:val="24"/>
          <w:szCs w:val="24"/>
        </w:rPr>
        <w:lastRenderedPageBreak/>
        <w:t>channels. The positive pressure will facilitate removal of the air bubbles via dissolving them.</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4:</w:t>
      </w:r>
      <w:r w:rsidRPr="00F64CEC">
        <w:rPr>
          <w:i w:val="0"/>
          <w:iCs w:val="0"/>
          <w:color w:val="auto"/>
          <w:sz w:val="24"/>
          <w:szCs w:val="24"/>
        </w:rPr>
        <w:t xml:space="preserve"> After flushing the chip with ethanol solution, inspect the chip to ensure bubble removal. In case of air bubbles, repeat the steps 2 and 3.</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5:</w:t>
      </w:r>
      <w:r w:rsidRPr="00F64CEC">
        <w:rPr>
          <w:i w:val="0"/>
          <w:iCs w:val="0"/>
          <w:color w:val="auto"/>
          <w:sz w:val="24"/>
          <w:szCs w:val="24"/>
        </w:rPr>
        <w:t xml:space="preserve"> Fill the syringe (10 ml) with medium or phosphate buffered saline (PBS). Take care to remove the air bubbles inside the syringe, mount and lock the needle on the syringe. Then, flow medium through the needle too make sure the needle is full of medium without any bubble. Insert the needle in the inlet-pipet tip; gently apply positive pressure to replace the ethanol with medium. Next, collect the excess medium from the outlet-pipet tip.</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6:</w:t>
      </w:r>
      <w:r w:rsidRPr="00F64CEC">
        <w:rPr>
          <w:i w:val="0"/>
          <w:iCs w:val="0"/>
          <w:color w:val="auto"/>
          <w:sz w:val="24"/>
          <w:szCs w:val="24"/>
        </w:rPr>
        <w:t xml:space="preserve"> Fill the inlet pipet with fresh medium in such a way that due to certain height (h) between the levels of the medium in the inlet and outlet pipet tips, very slow medium flow will be established inside the micro-channels.</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rPr>
        <w:t>Step 7:</w:t>
      </w:r>
      <w:r w:rsidRPr="00F64CEC">
        <w:rPr>
          <w:i w:val="0"/>
          <w:iCs w:val="0"/>
          <w:color w:val="auto"/>
          <w:sz w:val="24"/>
          <w:szCs w:val="24"/>
        </w:rPr>
        <w:t xml:space="preserve"> Load your cells into the Hamilton syringe and take care to ensure that there is no air bubble inside its needle and syringe. Insert the needle of the Hamilton syringe into the inlet-pipet tip as explained in Step 5, </w:t>
      </w:r>
      <w:r w:rsidRPr="00F64CEC">
        <w:rPr>
          <w:b/>
          <w:bCs/>
          <w:i w:val="0"/>
          <w:iCs w:val="0"/>
          <w:color w:val="auto"/>
          <w:sz w:val="24"/>
          <w:szCs w:val="24"/>
        </w:rPr>
        <w:t>Figure 1</w:t>
      </w:r>
      <w:r w:rsidRPr="00F64CEC">
        <w:rPr>
          <w:i w:val="0"/>
          <w:iCs w:val="0"/>
          <w:color w:val="auto"/>
          <w:sz w:val="24"/>
          <w:szCs w:val="24"/>
        </w:rPr>
        <w:t>. Introduce the cells via applying gentle positive pressure to the syringe. Established flow streams in the PDMS chip will deliver the released cells to the desired positions in the chip. Flow rate can be arranged adjusting the applied positive pressure and amount of medium collected in the inlet and outlet pipet tips. The excess supernatant from the outlet-pipet tip can be collected, and fresh medium can be supplied through the inlet-pipet tip during the experiment.</w:t>
      </w:r>
    </w:p>
    <w:p w:rsidR="00F64CEC" w:rsidRPr="00F64CEC" w:rsidRDefault="00F64CEC" w:rsidP="00F64CEC">
      <w:pPr>
        <w:widowControl w:val="0"/>
        <w:autoSpaceDE w:val="0"/>
        <w:autoSpaceDN w:val="0"/>
        <w:adjustRightInd w:val="0"/>
        <w:jc w:val="both"/>
        <w:rPr>
          <w:i w:val="0"/>
          <w:iCs w:val="0"/>
          <w:color w:val="auto"/>
          <w:sz w:val="24"/>
          <w:szCs w:val="24"/>
        </w:rPr>
      </w:pPr>
    </w:p>
    <w:p w:rsidR="00F64CEC" w:rsidRPr="00F64CEC" w:rsidRDefault="00F64CEC" w:rsidP="00F64CEC">
      <w:pPr>
        <w:widowControl w:val="0"/>
        <w:autoSpaceDE w:val="0"/>
        <w:autoSpaceDN w:val="0"/>
        <w:adjustRightInd w:val="0"/>
        <w:jc w:val="both"/>
        <w:rPr>
          <w:i w:val="0"/>
          <w:iCs w:val="0"/>
          <w:color w:val="auto"/>
          <w:sz w:val="24"/>
          <w:szCs w:val="24"/>
        </w:rPr>
      </w:pPr>
      <w:r w:rsidRPr="00F64CEC">
        <w:rPr>
          <w:b/>
          <w:bCs/>
          <w:i w:val="0"/>
          <w:iCs w:val="0"/>
          <w:color w:val="auto"/>
          <w:sz w:val="24"/>
          <w:szCs w:val="24"/>
          <w:u w:val="single"/>
        </w:rPr>
        <w:t>References</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r w:rsidRPr="00F64CEC">
        <w:rPr>
          <w:i w:val="0"/>
          <w:iCs w:val="0"/>
          <w:color w:val="auto"/>
          <w:sz w:val="24"/>
          <w:szCs w:val="24"/>
        </w:rPr>
        <w:t>Tan, S.H., N.T. Nguyen, Y.C. Chua, and T.G. Kang</w:t>
      </w:r>
      <w:proofErr w:type="gramStart"/>
      <w:r w:rsidRPr="00F64CEC">
        <w:rPr>
          <w:i w:val="0"/>
          <w:iCs w:val="0"/>
          <w:color w:val="auto"/>
          <w:sz w:val="24"/>
          <w:szCs w:val="24"/>
        </w:rPr>
        <w:t>,</w:t>
      </w:r>
      <w:r w:rsidRPr="00F64CEC">
        <w:rPr>
          <w:color w:val="auto"/>
          <w:sz w:val="24"/>
          <w:szCs w:val="24"/>
        </w:rPr>
        <w:t>.</w:t>
      </w:r>
      <w:proofErr w:type="gramEnd"/>
      <w:r w:rsidRPr="00F64CEC">
        <w:rPr>
          <w:i w:val="0"/>
          <w:iCs w:val="0"/>
          <w:color w:val="auto"/>
          <w:sz w:val="24"/>
          <w:szCs w:val="24"/>
        </w:rPr>
        <w:t xml:space="preserve"> </w:t>
      </w:r>
      <w:proofErr w:type="spellStart"/>
      <w:r w:rsidRPr="00F64CEC">
        <w:rPr>
          <w:i w:val="0"/>
          <w:iCs w:val="0"/>
          <w:color w:val="auto"/>
          <w:sz w:val="24"/>
          <w:szCs w:val="24"/>
        </w:rPr>
        <w:t>Biomicrofluidics</w:t>
      </w:r>
      <w:proofErr w:type="spellEnd"/>
      <w:r w:rsidRPr="00F64CEC">
        <w:rPr>
          <w:i w:val="0"/>
          <w:iCs w:val="0"/>
          <w:color w:val="auto"/>
          <w:sz w:val="24"/>
          <w:szCs w:val="24"/>
        </w:rPr>
        <w:t xml:space="preserve">, 2010. </w:t>
      </w:r>
      <w:r w:rsidRPr="00F64CEC">
        <w:rPr>
          <w:b/>
          <w:bCs/>
          <w:i w:val="0"/>
          <w:iCs w:val="0"/>
          <w:color w:val="auto"/>
          <w:sz w:val="24"/>
          <w:szCs w:val="24"/>
        </w:rPr>
        <w:t>4</w:t>
      </w:r>
      <w:r w:rsidRPr="00F64CEC">
        <w:rPr>
          <w:i w:val="0"/>
          <w:iCs w:val="0"/>
          <w:color w:val="auto"/>
          <w:sz w:val="24"/>
          <w:szCs w:val="24"/>
        </w:rPr>
        <w:t>(3).</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proofErr w:type="spellStart"/>
      <w:r w:rsidRPr="00F64CEC">
        <w:rPr>
          <w:i w:val="0"/>
          <w:iCs w:val="0"/>
          <w:color w:val="auto"/>
          <w:sz w:val="24"/>
          <w:szCs w:val="24"/>
        </w:rPr>
        <w:t>Zheng</w:t>
      </w:r>
      <w:proofErr w:type="spellEnd"/>
      <w:r w:rsidRPr="00F64CEC">
        <w:rPr>
          <w:i w:val="0"/>
          <w:iCs w:val="0"/>
          <w:color w:val="auto"/>
          <w:sz w:val="24"/>
          <w:szCs w:val="24"/>
        </w:rPr>
        <w:t>, W.F., Z. Wang, W. Zhang, and X.Y. Jiang</w:t>
      </w:r>
      <w:proofErr w:type="gramStart"/>
      <w:r w:rsidRPr="00F64CEC">
        <w:rPr>
          <w:i w:val="0"/>
          <w:iCs w:val="0"/>
          <w:color w:val="auto"/>
          <w:sz w:val="24"/>
          <w:szCs w:val="24"/>
        </w:rPr>
        <w:t>,</w:t>
      </w:r>
      <w:r w:rsidRPr="00F64CEC">
        <w:rPr>
          <w:color w:val="auto"/>
          <w:sz w:val="24"/>
          <w:szCs w:val="24"/>
        </w:rPr>
        <w:t>.</w:t>
      </w:r>
      <w:proofErr w:type="gramEnd"/>
      <w:r w:rsidRPr="00F64CEC">
        <w:rPr>
          <w:i w:val="0"/>
          <w:iCs w:val="0"/>
          <w:color w:val="auto"/>
          <w:sz w:val="24"/>
          <w:szCs w:val="24"/>
        </w:rPr>
        <w:t xml:space="preserve"> </w:t>
      </w:r>
      <w:r w:rsidRPr="00F64CEC">
        <w:rPr>
          <w:color w:val="auto"/>
          <w:sz w:val="24"/>
          <w:szCs w:val="24"/>
        </w:rPr>
        <w:t>Lab on a Chip</w:t>
      </w:r>
      <w:r w:rsidRPr="00F64CEC">
        <w:rPr>
          <w:i w:val="0"/>
          <w:iCs w:val="0"/>
          <w:color w:val="auto"/>
          <w:sz w:val="24"/>
          <w:szCs w:val="24"/>
        </w:rPr>
        <w:t xml:space="preserve">, 2010. </w:t>
      </w:r>
      <w:r w:rsidRPr="00F64CEC">
        <w:rPr>
          <w:b/>
          <w:bCs/>
          <w:i w:val="0"/>
          <w:iCs w:val="0"/>
          <w:color w:val="auto"/>
          <w:sz w:val="24"/>
          <w:szCs w:val="24"/>
        </w:rPr>
        <w:t>10</w:t>
      </w:r>
      <w:r w:rsidRPr="00F64CEC">
        <w:rPr>
          <w:i w:val="0"/>
          <w:iCs w:val="0"/>
          <w:color w:val="auto"/>
          <w:sz w:val="24"/>
          <w:szCs w:val="24"/>
        </w:rPr>
        <w:t>(21): p. 2906-2910.</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r w:rsidRPr="00F64CEC">
        <w:rPr>
          <w:i w:val="0"/>
          <w:iCs w:val="0"/>
          <w:color w:val="auto"/>
          <w:sz w:val="24"/>
          <w:szCs w:val="24"/>
        </w:rPr>
        <w:t xml:space="preserve">Wang, Y., D. Lee, L.S. Zhang, H. </w:t>
      </w:r>
      <w:proofErr w:type="spellStart"/>
      <w:r w:rsidRPr="00F64CEC">
        <w:rPr>
          <w:i w:val="0"/>
          <w:iCs w:val="0"/>
          <w:color w:val="auto"/>
          <w:sz w:val="24"/>
          <w:szCs w:val="24"/>
        </w:rPr>
        <w:t>Jeon</w:t>
      </w:r>
      <w:proofErr w:type="spellEnd"/>
      <w:r w:rsidRPr="00F64CEC">
        <w:rPr>
          <w:i w:val="0"/>
          <w:iCs w:val="0"/>
          <w:color w:val="auto"/>
          <w:sz w:val="24"/>
          <w:szCs w:val="24"/>
        </w:rPr>
        <w:t xml:space="preserve">, J.E. Mendoza-Elias, T.A. </w:t>
      </w:r>
      <w:proofErr w:type="spellStart"/>
      <w:r w:rsidRPr="00F64CEC">
        <w:rPr>
          <w:i w:val="0"/>
          <w:iCs w:val="0"/>
          <w:color w:val="auto"/>
          <w:sz w:val="24"/>
          <w:szCs w:val="24"/>
        </w:rPr>
        <w:t>Harvat</w:t>
      </w:r>
      <w:proofErr w:type="spellEnd"/>
      <w:r w:rsidRPr="00F64CEC">
        <w:rPr>
          <w:i w:val="0"/>
          <w:iCs w:val="0"/>
          <w:color w:val="auto"/>
          <w:sz w:val="24"/>
          <w:szCs w:val="24"/>
        </w:rPr>
        <w:t xml:space="preserve">, S.Z. Hassan, A. Zhou, D.T. </w:t>
      </w:r>
      <w:proofErr w:type="spellStart"/>
      <w:r w:rsidRPr="00F64CEC">
        <w:rPr>
          <w:i w:val="0"/>
          <w:iCs w:val="0"/>
          <w:color w:val="auto"/>
          <w:sz w:val="24"/>
          <w:szCs w:val="24"/>
        </w:rPr>
        <w:t>Eddington</w:t>
      </w:r>
      <w:proofErr w:type="spellEnd"/>
      <w:r w:rsidRPr="00F64CEC">
        <w:rPr>
          <w:i w:val="0"/>
          <w:iCs w:val="0"/>
          <w:color w:val="auto"/>
          <w:sz w:val="24"/>
          <w:szCs w:val="24"/>
        </w:rPr>
        <w:t xml:space="preserve">, and J. </w:t>
      </w:r>
      <w:proofErr w:type="spellStart"/>
      <w:r w:rsidRPr="00F64CEC">
        <w:rPr>
          <w:i w:val="0"/>
          <w:iCs w:val="0"/>
          <w:color w:val="auto"/>
          <w:sz w:val="24"/>
          <w:szCs w:val="24"/>
        </w:rPr>
        <w:t>Oberholzer</w:t>
      </w:r>
      <w:proofErr w:type="spellEnd"/>
      <w:proofErr w:type="gramStart"/>
      <w:r w:rsidRPr="00F64CEC">
        <w:rPr>
          <w:i w:val="0"/>
          <w:iCs w:val="0"/>
          <w:color w:val="auto"/>
          <w:sz w:val="24"/>
          <w:szCs w:val="24"/>
        </w:rPr>
        <w:t xml:space="preserve">, </w:t>
      </w:r>
      <w:r w:rsidRPr="00F64CEC">
        <w:rPr>
          <w:color w:val="auto"/>
          <w:sz w:val="24"/>
          <w:szCs w:val="24"/>
        </w:rPr>
        <w:t>.</w:t>
      </w:r>
      <w:proofErr w:type="gramEnd"/>
      <w:r w:rsidRPr="00F64CEC">
        <w:rPr>
          <w:i w:val="0"/>
          <w:iCs w:val="0"/>
          <w:color w:val="auto"/>
          <w:sz w:val="24"/>
          <w:szCs w:val="24"/>
        </w:rPr>
        <w:t xml:space="preserve"> </w:t>
      </w:r>
      <w:r w:rsidRPr="00F64CEC">
        <w:rPr>
          <w:color w:val="auto"/>
          <w:sz w:val="24"/>
          <w:szCs w:val="24"/>
        </w:rPr>
        <w:t xml:space="preserve">Biomedical </w:t>
      </w:r>
      <w:proofErr w:type="spellStart"/>
      <w:r w:rsidRPr="00F64CEC">
        <w:rPr>
          <w:color w:val="auto"/>
          <w:sz w:val="24"/>
          <w:szCs w:val="24"/>
        </w:rPr>
        <w:t>Microdevices</w:t>
      </w:r>
      <w:proofErr w:type="spellEnd"/>
      <w:r w:rsidRPr="00F64CEC">
        <w:rPr>
          <w:i w:val="0"/>
          <w:iCs w:val="0"/>
          <w:color w:val="auto"/>
          <w:sz w:val="24"/>
          <w:szCs w:val="24"/>
        </w:rPr>
        <w:t xml:space="preserve">, 2012. </w:t>
      </w:r>
      <w:r w:rsidRPr="00F64CEC">
        <w:rPr>
          <w:b/>
          <w:bCs/>
          <w:i w:val="0"/>
          <w:iCs w:val="0"/>
          <w:color w:val="auto"/>
          <w:sz w:val="24"/>
          <w:szCs w:val="24"/>
        </w:rPr>
        <w:t>14</w:t>
      </w:r>
      <w:r w:rsidRPr="00F64CEC">
        <w:rPr>
          <w:i w:val="0"/>
          <w:iCs w:val="0"/>
          <w:color w:val="auto"/>
          <w:sz w:val="24"/>
          <w:szCs w:val="24"/>
        </w:rPr>
        <w:t>(2): p. 419-426.</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r w:rsidRPr="00F64CEC">
        <w:rPr>
          <w:i w:val="0"/>
          <w:iCs w:val="0"/>
          <w:color w:val="auto"/>
          <w:sz w:val="24"/>
          <w:szCs w:val="24"/>
        </w:rPr>
        <w:t xml:space="preserve">Wang, Y.L., C.E. Sims, and N.L. </w:t>
      </w:r>
      <w:proofErr w:type="spellStart"/>
      <w:r w:rsidRPr="00F64CEC">
        <w:rPr>
          <w:i w:val="0"/>
          <w:iCs w:val="0"/>
          <w:color w:val="auto"/>
          <w:sz w:val="24"/>
          <w:szCs w:val="24"/>
        </w:rPr>
        <w:t>Allbritton</w:t>
      </w:r>
      <w:proofErr w:type="spellEnd"/>
      <w:proofErr w:type="gramStart"/>
      <w:r w:rsidRPr="00F64CEC">
        <w:rPr>
          <w:i w:val="0"/>
          <w:iCs w:val="0"/>
          <w:color w:val="auto"/>
          <w:sz w:val="24"/>
          <w:szCs w:val="24"/>
        </w:rPr>
        <w:t>,</w:t>
      </w:r>
      <w:r w:rsidRPr="00F64CEC">
        <w:rPr>
          <w:color w:val="auto"/>
          <w:sz w:val="24"/>
          <w:szCs w:val="24"/>
        </w:rPr>
        <w:t>.</w:t>
      </w:r>
      <w:proofErr w:type="gramEnd"/>
      <w:r w:rsidRPr="00F64CEC">
        <w:rPr>
          <w:i w:val="0"/>
          <w:iCs w:val="0"/>
          <w:color w:val="auto"/>
          <w:sz w:val="24"/>
          <w:szCs w:val="24"/>
        </w:rPr>
        <w:t xml:space="preserve"> </w:t>
      </w:r>
      <w:r w:rsidRPr="00F64CEC">
        <w:rPr>
          <w:color w:val="auto"/>
          <w:sz w:val="24"/>
          <w:szCs w:val="24"/>
        </w:rPr>
        <w:t>Lab on a Chip</w:t>
      </w:r>
      <w:r w:rsidRPr="00F64CEC">
        <w:rPr>
          <w:i w:val="0"/>
          <w:iCs w:val="0"/>
          <w:color w:val="auto"/>
          <w:sz w:val="24"/>
          <w:szCs w:val="24"/>
        </w:rPr>
        <w:t xml:space="preserve">, 2012. </w:t>
      </w:r>
      <w:r w:rsidRPr="00F64CEC">
        <w:rPr>
          <w:b/>
          <w:bCs/>
          <w:i w:val="0"/>
          <w:iCs w:val="0"/>
          <w:color w:val="auto"/>
          <w:sz w:val="24"/>
          <w:szCs w:val="24"/>
        </w:rPr>
        <w:t>12</w:t>
      </w:r>
      <w:r w:rsidRPr="00F64CEC">
        <w:rPr>
          <w:i w:val="0"/>
          <w:iCs w:val="0"/>
          <w:color w:val="auto"/>
          <w:sz w:val="24"/>
          <w:szCs w:val="24"/>
        </w:rPr>
        <w:t>(17): p. 3036-3039.</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proofErr w:type="spellStart"/>
      <w:r w:rsidRPr="00F64CEC">
        <w:rPr>
          <w:i w:val="0"/>
          <w:iCs w:val="0"/>
          <w:color w:val="auto"/>
          <w:sz w:val="24"/>
          <w:szCs w:val="24"/>
        </w:rPr>
        <w:t>Karlsson</w:t>
      </w:r>
      <w:proofErr w:type="spellEnd"/>
      <w:r w:rsidRPr="00F64CEC">
        <w:rPr>
          <w:i w:val="0"/>
          <w:iCs w:val="0"/>
          <w:color w:val="auto"/>
          <w:sz w:val="24"/>
          <w:szCs w:val="24"/>
        </w:rPr>
        <w:t xml:space="preserve">, J.M., M. </w:t>
      </w:r>
      <w:proofErr w:type="spellStart"/>
      <w:r w:rsidRPr="00F64CEC">
        <w:rPr>
          <w:i w:val="0"/>
          <w:iCs w:val="0"/>
          <w:color w:val="auto"/>
          <w:sz w:val="24"/>
          <w:szCs w:val="24"/>
        </w:rPr>
        <w:t>Gazin</w:t>
      </w:r>
      <w:proofErr w:type="spellEnd"/>
      <w:r w:rsidRPr="00F64CEC">
        <w:rPr>
          <w:i w:val="0"/>
          <w:iCs w:val="0"/>
          <w:color w:val="auto"/>
          <w:sz w:val="24"/>
          <w:szCs w:val="24"/>
        </w:rPr>
        <w:t xml:space="preserve">, S. </w:t>
      </w:r>
      <w:proofErr w:type="spellStart"/>
      <w:r w:rsidRPr="00F64CEC">
        <w:rPr>
          <w:i w:val="0"/>
          <w:iCs w:val="0"/>
          <w:color w:val="auto"/>
          <w:sz w:val="24"/>
          <w:szCs w:val="24"/>
        </w:rPr>
        <w:t>Laakso</w:t>
      </w:r>
      <w:proofErr w:type="spellEnd"/>
      <w:r w:rsidRPr="00F64CEC">
        <w:rPr>
          <w:i w:val="0"/>
          <w:iCs w:val="0"/>
          <w:color w:val="auto"/>
          <w:sz w:val="24"/>
          <w:szCs w:val="24"/>
        </w:rPr>
        <w:t xml:space="preserve">, T. </w:t>
      </w:r>
      <w:proofErr w:type="spellStart"/>
      <w:r w:rsidRPr="00F64CEC">
        <w:rPr>
          <w:i w:val="0"/>
          <w:iCs w:val="0"/>
          <w:color w:val="auto"/>
          <w:sz w:val="24"/>
          <w:szCs w:val="24"/>
        </w:rPr>
        <w:t>Haraldsson</w:t>
      </w:r>
      <w:proofErr w:type="spellEnd"/>
      <w:r w:rsidRPr="00F64CEC">
        <w:rPr>
          <w:i w:val="0"/>
          <w:iCs w:val="0"/>
          <w:color w:val="auto"/>
          <w:sz w:val="24"/>
          <w:szCs w:val="24"/>
        </w:rPr>
        <w:t xml:space="preserve">, S. </w:t>
      </w:r>
      <w:proofErr w:type="spellStart"/>
      <w:r w:rsidRPr="00F64CEC">
        <w:rPr>
          <w:i w:val="0"/>
          <w:iCs w:val="0"/>
          <w:color w:val="auto"/>
          <w:sz w:val="24"/>
          <w:szCs w:val="24"/>
        </w:rPr>
        <w:t>Malhotra</w:t>
      </w:r>
      <w:proofErr w:type="spellEnd"/>
      <w:r w:rsidRPr="00F64CEC">
        <w:rPr>
          <w:i w:val="0"/>
          <w:iCs w:val="0"/>
          <w:color w:val="auto"/>
          <w:sz w:val="24"/>
          <w:szCs w:val="24"/>
        </w:rPr>
        <w:t xml:space="preserve">-Kumar, M. Maki, H. </w:t>
      </w:r>
      <w:proofErr w:type="spellStart"/>
      <w:r w:rsidRPr="00F64CEC">
        <w:rPr>
          <w:i w:val="0"/>
          <w:iCs w:val="0"/>
          <w:color w:val="auto"/>
          <w:sz w:val="24"/>
          <w:szCs w:val="24"/>
        </w:rPr>
        <w:t>Goossens</w:t>
      </w:r>
      <w:proofErr w:type="spellEnd"/>
      <w:r w:rsidRPr="00F64CEC">
        <w:rPr>
          <w:i w:val="0"/>
          <w:iCs w:val="0"/>
          <w:color w:val="auto"/>
          <w:sz w:val="24"/>
          <w:szCs w:val="24"/>
        </w:rPr>
        <w:t xml:space="preserve">, and W. van der </w:t>
      </w:r>
      <w:proofErr w:type="spellStart"/>
      <w:r w:rsidRPr="00F64CEC">
        <w:rPr>
          <w:i w:val="0"/>
          <w:iCs w:val="0"/>
          <w:color w:val="auto"/>
          <w:sz w:val="24"/>
          <w:szCs w:val="24"/>
        </w:rPr>
        <w:t>Wijngaart</w:t>
      </w:r>
      <w:proofErr w:type="spellEnd"/>
      <w:proofErr w:type="gramStart"/>
      <w:r w:rsidRPr="00F64CEC">
        <w:rPr>
          <w:i w:val="0"/>
          <w:iCs w:val="0"/>
          <w:color w:val="auto"/>
          <w:sz w:val="24"/>
          <w:szCs w:val="24"/>
        </w:rPr>
        <w:t>,</w:t>
      </w:r>
      <w:r w:rsidRPr="00F64CEC">
        <w:rPr>
          <w:color w:val="auto"/>
          <w:sz w:val="24"/>
          <w:szCs w:val="24"/>
        </w:rPr>
        <w:t>.</w:t>
      </w:r>
      <w:proofErr w:type="gramEnd"/>
      <w:r w:rsidRPr="00F64CEC">
        <w:rPr>
          <w:i w:val="0"/>
          <w:iCs w:val="0"/>
          <w:color w:val="auto"/>
          <w:sz w:val="24"/>
          <w:szCs w:val="24"/>
        </w:rPr>
        <w:t xml:space="preserve"> </w:t>
      </w:r>
      <w:r w:rsidRPr="00F64CEC">
        <w:rPr>
          <w:color w:val="auto"/>
          <w:sz w:val="24"/>
          <w:szCs w:val="24"/>
        </w:rPr>
        <w:t>Lab on a Chip</w:t>
      </w:r>
      <w:r w:rsidRPr="00F64CEC">
        <w:rPr>
          <w:i w:val="0"/>
          <w:iCs w:val="0"/>
          <w:color w:val="auto"/>
          <w:sz w:val="24"/>
          <w:szCs w:val="24"/>
        </w:rPr>
        <w:t xml:space="preserve">, 2013. </w:t>
      </w:r>
      <w:r w:rsidRPr="00F64CEC">
        <w:rPr>
          <w:b/>
          <w:bCs/>
          <w:i w:val="0"/>
          <w:iCs w:val="0"/>
          <w:color w:val="auto"/>
          <w:sz w:val="24"/>
          <w:szCs w:val="24"/>
        </w:rPr>
        <w:t>13</w:t>
      </w:r>
      <w:r w:rsidRPr="00F64CEC">
        <w:rPr>
          <w:i w:val="0"/>
          <w:iCs w:val="0"/>
          <w:color w:val="auto"/>
          <w:sz w:val="24"/>
          <w:szCs w:val="24"/>
        </w:rPr>
        <w:t>(22): p. 4366-4373.</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r w:rsidRPr="00F64CEC">
        <w:rPr>
          <w:i w:val="0"/>
          <w:iCs w:val="0"/>
          <w:color w:val="auto"/>
          <w:sz w:val="24"/>
          <w:szCs w:val="24"/>
        </w:rPr>
        <w:t>Cortes, D.F., T</w:t>
      </w:r>
      <w:proofErr w:type="gramStart"/>
      <w:r w:rsidRPr="00F64CEC">
        <w:rPr>
          <w:i w:val="0"/>
          <w:iCs w:val="0"/>
          <w:color w:val="auto"/>
          <w:sz w:val="24"/>
          <w:szCs w:val="24"/>
        </w:rPr>
        <w:t>.-</w:t>
      </w:r>
      <w:proofErr w:type="gramEnd"/>
      <w:r w:rsidRPr="00F64CEC">
        <w:rPr>
          <w:i w:val="0"/>
          <w:iCs w:val="0"/>
          <w:color w:val="auto"/>
          <w:sz w:val="24"/>
          <w:szCs w:val="24"/>
        </w:rPr>
        <w:t xml:space="preserve">X. Tang, D.G.S. </w:t>
      </w:r>
      <w:proofErr w:type="spellStart"/>
      <w:r w:rsidRPr="00F64CEC">
        <w:rPr>
          <w:i w:val="0"/>
          <w:iCs w:val="0"/>
          <w:color w:val="auto"/>
          <w:sz w:val="24"/>
          <w:szCs w:val="24"/>
        </w:rPr>
        <w:t>Capelluto</w:t>
      </w:r>
      <w:proofErr w:type="spellEnd"/>
      <w:r w:rsidRPr="00F64CEC">
        <w:rPr>
          <w:i w:val="0"/>
          <w:iCs w:val="0"/>
          <w:color w:val="auto"/>
          <w:sz w:val="24"/>
          <w:szCs w:val="24"/>
        </w:rPr>
        <w:t>, and I.M. Lazar,</w:t>
      </w:r>
      <w:r w:rsidRPr="00F64CEC">
        <w:rPr>
          <w:color w:val="auto"/>
          <w:sz w:val="24"/>
          <w:szCs w:val="24"/>
        </w:rPr>
        <w:t>.</w:t>
      </w:r>
      <w:r w:rsidRPr="00F64CEC">
        <w:rPr>
          <w:i w:val="0"/>
          <w:iCs w:val="0"/>
          <w:color w:val="auto"/>
          <w:sz w:val="24"/>
          <w:szCs w:val="24"/>
        </w:rPr>
        <w:t xml:space="preserve"> </w:t>
      </w:r>
      <w:r w:rsidRPr="00F64CEC">
        <w:rPr>
          <w:color w:val="auto"/>
          <w:sz w:val="24"/>
          <w:szCs w:val="24"/>
        </w:rPr>
        <w:t>Sensors and Actuators B: Chemical</w:t>
      </w:r>
      <w:r w:rsidRPr="00F64CEC">
        <w:rPr>
          <w:i w:val="0"/>
          <w:iCs w:val="0"/>
          <w:color w:val="auto"/>
          <w:sz w:val="24"/>
          <w:szCs w:val="24"/>
        </w:rPr>
        <w:t xml:space="preserve">, 2017. </w:t>
      </w:r>
      <w:r w:rsidRPr="00F64CEC">
        <w:rPr>
          <w:b/>
          <w:bCs/>
          <w:i w:val="0"/>
          <w:iCs w:val="0"/>
          <w:color w:val="auto"/>
          <w:sz w:val="24"/>
          <w:szCs w:val="24"/>
        </w:rPr>
        <w:t>243</w:t>
      </w:r>
      <w:r w:rsidRPr="00F64CEC">
        <w:rPr>
          <w:i w:val="0"/>
          <w:iCs w:val="0"/>
          <w:color w:val="auto"/>
          <w:sz w:val="24"/>
          <w:szCs w:val="24"/>
        </w:rPr>
        <w:t>: p. 650-657.</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proofErr w:type="spellStart"/>
      <w:r w:rsidRPr="00F64CEC">
        <w:rPr>
          <w:i w:val="0"/>
          <w:iCs w:val="0"/>
          <w:color w:val="auto"/>
          <w:sz w:val="24"/>
          <w:szCs w:val="24"/>
        </w:rPr>
        <w:t>Benavente-Babace</w:t>
      </w:r>
      <w:proofErr w:type="spellEnd"/>
      <w:r w:rsidRPr="00F64CEC">
        <w:rPr>
          <w:i w:val="0"/>
          <w:iCs w:val="0"/>
          <w:color w:val="auto"/>
          <w:sz w:val="24"/>
          <w:szCs w:val="24"/>
        </w:rPr>
        <w:t xml:space="preserve">, A., D. </w:t>
      </w:r>
      <w:proofErr w:type="spellStart"/>
      <w:r w:rsidRPr="00F64CEC">
        <w:rPr>
          <w:i w:val="0"/>
          <w:iCs w:val="0"/>
          <w:color w:val="auto"/>
          <w:sz w:val="24"/>
          <w:szCs w:val="24"/>
        </w:rPr>
        <w:t>Gallego</w:t>
      </w:r>
      <w:proofErr w:type="spellEnd"/>
      <w:r w:rsidRPr="00F64CEC">
        <w:rPr>
          <w:i w:val="0"/>
          <w:iCs w:val="0"/>
          <w:color w:val="auto"/>
          <w:sz w:val="24"/>
          <w:szCs w:val="24"/>
        </w:rPr>
        <w:t xml:space="preserve">-Perez, D.J. Hansford, S. Arana, E. Perez-Lorenzo, and M. </w:t>
      </w:r>
      <w:proofErr w:type="spellStart"/>
      <w:r w:rsidRPr="00F64CEC">
        <w:rPr>
          <w:i w:val="0"/>
          <w:iCs w:val="0"/>
          <w:color w:val="auto"/>
          <w:sz w:val="24"/>
          <w:szCs w:val="24"/>
        </w:rPr>
        <w:t>Mujika</w:t>
      </w:r>
      <w:proofErr w:type="spellEnd"/>
      <w:proofErr w:type="gramStart"/>
      <w:r w:rsidRPr="00F64CEC">
        <w:rPr>
          <w:i w:val="0"/>
          <w:iCs w:val="0"/>
          <w:color w:val="auto"/>
          <w:sz w:val="24"/>
          <w:szCs w:val="24"/>
        </w:rPr>
        <w:t>,</w:t>
      </w:r>
      <w:r w:rsidRPr="00F64CEC">
        <w:rPr>
          <w:color w:val="auto"/>
          <w:sz w:val="24"/>
          <w:szCs w:val="24"/>
        </w:rPr>
        <w:t>.</w:t>
      </w:r>
      <w:proofErr w:type="gramEnd"/>
      <w:r w:rsidRPr="00F64CEC">
        <w:rPr>
          <w:i w:val="0"/>
          <w:iCs w:val="0"/>
          <w:color w:val="auto"/>
          <w:sz w:val="24"/>
          <w:szCs w:val="24"/>
        </w:rPr>
        <w:t xml:space="preserve"> </w:t>
      </w:r>
      <w:r w:rsidRPr="00F64CEC">
        <w:rPr>
          <w:color w:val="auto"/>
          <w:sz w:val="24"/>
          <w:szCs w:val="24"/>
        </w:rPr>
        <w:t>Biosensors &amp; Bioelectronics</w:t>
      </w:r>
      <w:r w:rsidRPr="00F64CEC">
        <w:rPr>
          <w:i w:val="0"/>
          <w:iCs w:val="0"/>
          <w:color w:val="auto"/>
          <w:sz w:val="24"/>
          <w:szCs w:val="24"/>
        </w:rPr>
        <w:t xml:space="preserve">, 2014. </w:t>
      </w:r>
      <w:r w:rsidRPr="00F64CEC">
        <w:rPr>
          <w:b/>
          <w:bCs/>
          <w:i w:val="0"/>
          <w:iCs w:val="0"/>
          <w:color w:val="auto"/>
          <w:sz w:val="24"/>
          <w:szCs w:val="24"/>
        </w:rPr>
        <w:t>61</w:t>
      </w:r>
      <w:r w:rsidRPr="00F64CEC">
        <w:rPr>
          <w:i w:val="0"/>
          <w:iCs w:val="0"/>
          <w:color w:val="auto"/>
          <w:sz w:val="24"/>
          <w:szCs w:val="24"/>
        </w:rPr>
        <w:t>: p. 298-305.</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proofErr w:type="spellStart"/>
      <w:r w:rsidRPr="00F64CEC">
        <w:rPr>
          <w:i w:val="0"/>
          <w:iCs w:val="0"/>
          <w:color w:val="auto"/>
          <w:sz w:val="24"/>
          <w:szCs w:val="24"/>
        </w:rPr>
        <w:t>Yesilkoy</w:t>
      </w:r>
      <w:proofErr w:type="spellEnd"/>
      <w:r w:rsidRPr="00F64CEC">
        <w:rPr>
          <w:i w:val="0"/>
          <w:iCs w:val="0"/>
          <w:color w:val="auto"/>
          <w:sz w:val="24"/>
          <w:szCs w:val="24"/>
        </w:rPr>
        <w:t xml:space="preserve">, F., R. Ueno, B.X.E. </w:t>
      </w:r>
      <w:proofErr w:type="spellStart"/>
      <w:r w:rsidRPr="00F64CEC">
        <w:rPr>
          <w:i w:val="0"/>
          <w:iCs w:val="0"/>
          <w:color w:val="auto"/>
          <w:sz w:val="24"/>
          <w:szCs w:val="24"/>
        </w:rPr>
        <w:t>Desbiolles</w:t>
      </w:r>
      <w:proofErr w:type="spellEnd"/>
      <w:r w:rsidRPr="00F64CEC">
        <w:rPr>
          <w:i w:val="0"/>
          <w:iCs w:val="0"/>
          <w:color w:val="auto"/>
          <w:sz w:val="24"/>
          <w:szCs w:val="24"/>
        </w:rPr>
        <w:t xml:space="preserve">, M. </w:t>
      </w:r>
      <w:proofErr w:type="spellStart"/>
      <w:r w:rsidRPr="00F64CEC">
        <w:rPr>
          <w:i w:val="0"/>
          <w:iCs w:val="0"/>
          <w:color w:val="auto"/>
          <w:sz w:val="24"/>
          <w:szCs w:val="24"/>
        </w:rPr>
        <w:t>Grisi</w:t>
      </w:r>
      <w:proofErr w:type="spellEnd"/>
      <w:r w:rsidRPr="00F64CEC">
        <w:rPr>
          <w:i w:val="0"/>
          <w:iCs w:val="0"/>
          <w:color w:val="auto"/>
          <w:sz w:val="24"/>
          <w:szCs w:val="24"/>
        </w:rPr>
        <w:t xml:space="preserve">, Y. Sakai, B.J. Kim, and J. </w:t>
      </w:r>
      <w:proofErr w:type="spellStart"/>
      <w:r w:rsidRPr="00F64CEC">
        <w:rPr>
          <w:i w:val="0"/>
          <w:iCs w:val="0"/>
          <w:color w:val="auto"/>
          <w:sz w:val="24"/>
          <w:szCs w:val="24"/>
        </w:rPr>
        <w:t>Brugger</w:t>
      </w:r>
      <w:proofErr w:type="spellEnd"/>
      <w:proofErr w:type="gramStart"/>
      <w:r w:rsidRPr="00F64CEC">
        <w:rPr>
          <w:i w:val="0"/>
          <w:iCs w:val="0"/>
          <w:color w:val="auto"/>
          <w:sz w:val="24"/>
          <w:szCs w:val="24"/>
        </w:rPr>
        <w:t>,</w:t>
      </w:r>
      <w:r w:rsidRPr="00F64CEC">
        <w:rPr>
          <w:color w:val="auto"/>
          <w:sz w:val="24"/>
          <w:szCs w:val="24"/>
        </w:rPr>
        <w:t>.</w:t>
      </w:r>
      <w:proofErr w:type="gramEnd"/>
      <w:r w:rsidRPr="00F64CEC">
        <w:rPr>
          <w:i w:val="0"/>
          <w:iCs w:val="0"/>
          <w:color w:val="auto"/>
          <w:sz w:val="24"/>
          <w:szCs w:val="24"/>
        </w:rPr>
        <w:t xml:space="preserve"> </w:t>
      </w:r>
      <w:proofErr w:type="spellStart"/>
      <w:r w:rsidRPr="00F64CEC">
        <w:rPr>
          <w:color w:val="auto"/>
          <w:sz w:val="24"/>
          <w:szCs w:val="24"/>
        </w:rPr>
        <w:t>Biomicrofluidics</w:t>
      </w:r>
      <w:proofErr w:type="spellEnd"/>
      <w:r w:rsidRPr="00F64CEC">
        <w:rPr>
          <w:color w:val="auto"/>
          <w:sz w:val="24"/>
          <w:szCs w:val="24"/>
        </w:rPr>
        <w:t>,</w:t>
      </w:r>
      <w:r w:rsidRPr="00F64CEC">
        <w:rPr>
          <w:i w:val="0"/>
          <w:iCs w:val="0"/>
          <w:color w:val="auto"/>
          <w:sz w:val="24"/>
          <w:szCs w:val="24"/>
        </w:rPr>
        <w:t xml:space="preserve"> 2016. </w:t>
      </w:r>
      <w:r w:rsidRPr="00F64CEC">
        <w:rPr>
          <w:b/>
          <w:bCs/>
          <w:i w:val="0"/>
          <w:iCs w:val="0"/>
          <w:color w:val="auto"/>
          <w:sz w:val="24"/>
          <w:szCs w:val="24"/>
        </w:rPr>
        <w:t>10</w:t>
      </w:r>
      <w:r w:rsidRPr="00F64CEC">
        <w:rPr>
          <w:i w:val="0"/>
          <w:iCs w:val="0"/>
          <w:color w:val="auto"/>
          <w:sz w:val="24"/>
          <w:szCs w:val="24"/>
        </w:rPr>
        <w:t>(1).</w:t>
      </w:r>
    </w:p>
    <w:p w:rsidR="00F64CEC" w:rsidRPr="00F64CEC" w:rsidRDefault="00F64CEC" w:rsidP="00F64CEC">
      <w:pPr>
        <w:widowControl w:val="0"/>
        <w:numPr>
          <w:ilvl w:val="0"/>
          <w:numId w:val="1"/>
        </w:numPr>
        <w:tabs>
          <w:tab w:val="left" w:pos="220"/>
          <w:tab w:val="left" w:pos="720"/>
        </w:tabs>
        <w:autoSpaceDE w:val="0"/>
        <w:autoSpaceDN w:val="0"/>
        <w:adjustRightInd w:val="0"/>
        <w:ind w:hanging="720"/>
        <w:jc w:val="both"/>
        <w:rPr>
          <w:i w:val="0"/>
          <w:iCs w:val="0"/>
          <w:color w:val="auto"/>
          <w:sz w:val="24"/>
          <w:szCs w:val="24"/>
        </w:rPr>
      </w:pPr>
      <w:r w:rsidRPr="00F64CEC">
        <w:rPr>
          <w:i w:val="0"/>
          <w:iCs w:val="0"/>
          <w:color w:val="auto"/>
          <w:sz w:val="24"/>
          <w:szCs w:val="24"/>
        </w:rPr>
        <w:t xml:space="preserve">Henry, W., </w:t>
      </w:r>
      <w:r w:rsidRPr="00F64CEC">
        <w:rPr>
          <w:color w:val="auto"/>
          <w:sz w:val="24"/>
          <w:szCs w:val="24"/>
        </w:rPr>
        <w:t xml:space="preserve">Phil. Trans. R. Soc. </w:t>
      </w:r>
      <w:proofErr w:type="spellStart"/>
      <w:r w:rsidRPr="00F64CEC">
        <w:rPr>
          <w:color w:val="auto"/>
          <w:sz w:val="24"/>
          <w:szCs w:val="24"/>
        </w:rPr>
        <w:t>Lond</w:t>
      </w:r>
      <w:proofErr w:type="spellEnd"/>
      <w:proofErr w:type="gramStart"/>
      <w:r w:rsidRPr="00F64CEC">
        <w:rPr>
          <w:i w:val="0"/>
          <w:iCs w:val="0"/>
          <w:color w:val="auto"/>
          <w:sz w:val="24"/>
          <w:szCs w:val="24"/>
        </w:rPr>
        <w:t>.,</w:t>
      </w:r>
      <w:proofErr w:type="gramEnd"/>
      <w:r w:rsidRPr="00F64CEC">
        <w:rPr>
          <w:i w:val="0"/>
          <w:iCs w:val="0"/>
          <w:color w:val="auto"/>
          <w:sz w:val="24"/>
          <w:szCs w:val="24"/>
        </w:rPr>
        <w:t xml:space="preserve"> 1803. </w:t>
      </w:r>
      <w:r w:rsidRPr="00F64CEC">
        <w:rPr>
          <w:b/>
          <w:bCs/>
          <w:i w:val="0"/>
          <w:iCs w:val="0"/>
          <w:color w:val="auto"/>
          <w:sz w:val="24"/>
          <w:szCs w:val="24"/>
        </w:rPr>
        <w:t>93</w:t>
      </w:r>
      <w:r w:rsidRPr="00F64CEC">
        <w:rPr>
          <w:i w:val="0"/>
          <w:iCs w:val="0"/>
          <w:color w:val="auto"/>
          <w:sz w:val="24"/>
          <w:szCs w:val="24"/>
        </w:rPr>
        <w:t>: 29–274.</w:t>
      </w:r>
    </w:p>
    <w:p w:rsidR="00F64CEC" w:rsidRPr="00F64CEC" w:rsidRDefault="00F64CEC" w:rsidP="00F64CEC">
      <w:pPr>
        <w:widowControl w:val="0"/>
        <w:autoSpaceDE w:val="0"/>
        <w:autoSpaceDN w:val="0"/>
        <w:adjustRightInd w:val="0"/>
        <w:jc w:val="both"/>
        <w:rPr>
          <w:color w:val="646464"/>
          <w:sz w:val="24"/>
          <w:szCs w:val="24"/>
        </w:rPr>
      </w:pPr>
      <w:r w:rsidRPr="00F64CEC">
        <w:rPr>
          <w:i w:val="0"/>
          <w:iCs w:val="0"/>
          <w:noProof/>
          <w:color w:val="06346F"/>
          <w:sz w:val="24"/>
          <w:szCs w:val="24"/>
        </w:rPr>
        <w:drawing>
          <wp:inline distT="0" distB="0" distL="0" distR="0" wp14:anchorId="39299E67" wp14:editId="0CAEB4BB">
            <wp:extent cx="1561465" cy="1263650"/>
            <wp:effectExtent l="0" t="0" r="0" b="635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1263650"/>
                    </a:xfrm>
                    <a:prstGeom prst="rect">
                      <a:avLst/>
                    </a:prstGeom>
                    <a:noFill/>
                    <a:ln>
                      <a:noFill/>
                    </a:ln>
                  </pic:spPr>
                </pic:pic>
              </a:graphicData>
            </a:graphic>
          </wp:inline>
        </w:drawing>
      </w:r>
    </w:p>
    <w:p w:rsidR="00F64CEC" w:rsidRPr="00F64CEC" w:rsidRDefault="00F64CEC" w:rsidP="00F64CEC">
      <w:pPr>
        <w:widowControl w:val="0"/>
        <w:autoSpaceDE w:val="0"/>
        <w:autoSpaceDN w:val="0"/>
        <w:adjustRightInd w:val="0"/>
        <w:jc w:val="both"/>
        <w:rPr>
          <w:color w:val="646464"/>
          <w:sz w:val="24"/>
          <w:szCs w:val="24"/>
        </w:rPr>
      </w:pPr>
      <w:r w:rsidRPr="00F64CEC">
        <w:rPr>
          <w:color w:val="646464"/>
          <w:sz w:val="24"/>
          <w:szCs w:val="24"/>
        </w:rPr>
        <w:t>Figure 1 – Schematic of cell loading procedure in a microfluidic PDMS device.</w:t>
      </w:r>
    </w:p>
    <w:p w:rsidR="00F64CEC" w:rsidRPr="00F64CEC" w:rsidRDefault="00F64CEC" w:rsidP="00F64CEC">
      <w:pPr>
        <w:widowControl w:val="0"/>
        <w:autoSpaceDE w:val="0"/>
        <w:autoSpaceDN w:val="0"/>
        <w:adjustRightInd w:val="0"/>
        <w:jc w:val="both"/>
        <w:rPr>
          <w:i w:val="0"/>
          <w:iCs w:val="0"/>
          <w:color w:val="auto"/>
          <w:sz w:val="24"/>
          <w:szCs w:val="24"/>
        </w:rPr>
      </w:pPr>
      <w:r w:rsidRPr="00F64CEC">
        <w:rPr>
          <w:i w:val="0"/>
          <w:iCs w:val="0"/>
          <w:color w:val="auto"/>
          <w:sz w:val="24"/>
          <w:szCs w:val="24"/>
        </w:rPr>
        <w:t> </w:t>
      </w:r>
    </w:p>
    <w:p w:rsidR="009840BB" w:rsidRPr="00F64CEC" w:rsidRDefault="00F64CEC" w:rsidP="00F64CEC">
      <w:pPr>
        <w:jc w:val="both"/>
        <w:rPr>
          <w:sz w:val="24"/>
          <w:szCs w:val="24"/>
        </w:rPr>
      </w:pPr>
      <w:r w:rsidRPr="00F64CEC">
        <w:rPr>
          <w:i w:val="0"/>
          <w:iCs w:val="0"/>
          <w:color w:val="auto"/>
          <w:sz w:val="24"/>
          <w:szCs w:val="24"/>
        </w:rPr>
        <w:t> </w:t>
      </w:r>
    </w:p>
    <w:sectPr w:rsidR="009840BB" w:rsidRPr="00F64CEC" w:rsidSect="00AB2079">
      <w:pgSz w:w="12240" w:h="15840"/>
      <w:pgMar w:top="1411" w:right="1411" w:bottom="1138" w:left="1411"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EC"/>
    <w:rsid w:val="001337C2"/>
    <w:rsid w:val="009840BB"/>
    <w:rsid w:val="00AB2079"/>
    <w:rsid w:val="00F6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20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i/>
        <w:iCs/>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C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i/>
        <w:iCs/>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C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rsc.org/chipsandtips/author/edwardsg/" TargetMode="External"/><Relationship Id="rId7" Type="http://schemas.openxmlformats.org/officeDocument/2006/relationships/hyperlink" Target="http://blogs.rsc.org/chipsandtips/files/2017/02/ct-fig1.png.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5102</Characters>
  <Application>Microsoft Macintosh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elitas</dc:creator>
  <cp:keywords/>
  <dc:description/>
  <cp:lastModifiedBy>meltem elitas</cp:lastModifiedBy>
  <cp:revision>1</cp:revision>
  <dcterms:created xsi:type="dcterms:W3CDTF">2017-03-29T19:05:00Z</dcterms:created>
  <dcterms:modified xsi:type="dcterms:W3CDTF">2017-03-29T19:05:00Z</dcterms:modified>
</cp:coreProperties>
</file>