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1B" w:rsidRDefault="0076311B" w:rsidP="0076311B">
      <w:pPr>
        <w:autoSpaceDE w:val="0"/>
        <w:autoSpaceDN w:val="0"/>
        <w:adjustRightInd w:val="0"/>
        <w:spacing w:after="0" w:line="240" w:lineRule="auto"/>
        <w:ind w:firstLine="708"/>
        <w:jc w:val="center"/>
        <w:rPr>
          <w:rFonts w:ascii="Times New Roman" w:hAnsi="Times New Roman"/>
          <w:b/>
          <w:color w:val="000000"/>
          <w:sz w:val="24"/>
          <w:szCs w:val="24"/>
        </w:rPr>
      </w:pPr>
      <w:r w:rsidRPr="0076311B">
        <w:rPr>
          <w:rFonts w:ascii="Times New Roman" w:hAnsi="Times New Roman"/>
          <w:b/>
          <w:color w:val="000000"/>
          <w:sz w:val="24"/>
          <w:szCs w:val="24"/>
        </w:rPr>
        <w:t>A context-dependent view of anchoring: The Effect of Consumer Adaptation of Incidental Environmental Anchors on Willingness to Pay</w:t>
      </w:r>
    </w:p>
    <w:p w:rsidR="0076311B" w:rsidRDefault="0076311B" w:rsidP="0076311B">
      <w:pPr>
        <w:autoSpaceDE w:val="0"/>
        <w:autoSpaceDN w:val="0"/>
        <w:adjustRightInd w:val="0"/>
        <w:spacing w:after="0" w:line="240" w:lineRule="auto"/>
        <w:ind w:firstLine="708"/>
        <w:jc w:val="center"/>
        <w:rPr>
          <w:rFonts w:ascii="Times New Roman" w:hAnsi="Times New Roman"/>
          <w:color w:val="000000"/>
          <w:sz w:val="24"/>
          <w:szCs w:val="24"/>
        </w:rPr>
      </w:pPr>
      <w:r>
        <w:rPr>
          <w:rFonts w:ascii="Times New Roman" w:hAnsi="Times New Roman"/>
          <w:color w:val="000000"/>
          <w:sz w:val="24"/>
          <w:szCs w:val="24"/>
        </w:rPr>
        <w:t>Kivilcim Dogerlioglu-Demir and Cenk Koçaş, Sabanci University, Istanbul, Turkey</w:t>
      </w:r>
    </w:p>
    <w:p w:rsidR="000164A0" w:rsidRPr="004F117E" w:rsidRDefault="000164A0" w:rsidP="000164A0">
      <w:pPr>
        <w:ind w:left="709" w:hanging="709"/>
        <w:rPr>
          <w:rFonts w:ascii="Times New Roman" w:hAnsi="Times New Roman"/>
        </w:rPr>
      </w:pPr>
    </w:p>
    <w:p w:rsidR="000164A0" w:rsidRPr="000164A0" w:rsidRDefault="000164A0" w:rsidP="000164A0">
      <w:pPr>
        <w:ind w:left="709" w:hanging="709"/>
        <w:jc w:val="center"/>
        <w:rPr>
          <w:rFonts w:ascii="Times New Roman" w:hAnsi="Times New Roman"/>
          <w:b/>
        </w:rPr>
      </w:pPr>
      <w:r>
        <w:rPr>
          <w:rFonts w:ascii="Times New Roman" w:hAnsi="Times New Roman"/>
          <w:b/>
        </w:rPr>
        <w:t>INTRODUCTION</w:t>
      </w:r>
    </w:p>
    <w:p w:rsidR="00683DBC" w:rsidRPr="00872891" w:rsidRDefault="00683DBC" w:rsidP="000164A0">
      <w:pPr>
        <w:autoSpaceDE w:val="0"/>
        <w:autoSpaceDN w:val="0"/>
        <w:adjustRightInd w:val="0"/>
        <w:spacing w:after="0" w:line="240" w:lineRule="auto"/>
        <w:ind w:firstLine="708"/>
        <w:rPr>
          <w:rFonts w:ascii="Times New Roman" w:hAnsi="Times New Roman"/>
          <w:sz w:val="24"/>
          <w:szCs w:val="24"/>
          <w:lang w:val="en-US"/>
        </w:rPr>
      </w:pPr>
      <w:r w:rsidRPr="0076311B">
        <w:rPr>
          <w:rFonts w:ascii="Times New Roman" w:hAnsi="Times New Roman"/>
          <w:caps/>
          <w:sz w:val="24"/>
          <w:szCs w:val="24"/>
          <w:lang w:val="en-US"/>
        </w:rPr>
        <w:t xml:space="preserve"> A </w:t>
      </w:r>
      <w:r w:rsidRPr="0076311B">
        <w:rPr>
          <w:rFonts w:ascii="Times New Roman" w:hAnsi="Times New Roman"/>
          <w:sz w:val="24"/>
          <w:szCs w:val="24"/>
          <w:lang w:val="en-US"/>
        </w:rPr>
        <w:t xml:space="preserve">fairly common form of managing consumer price expectations is when companies use numbers in their marketing communications </w:t>
      </w:r>
      <w:r w:rsidRPr="0076311B">
        <w:rPr>
          <w:rFonts w:ascii="Times New Roman" w:hAnsi="Times New Roman"/>
          <w:sz w:val="24"/>
          <w:szCs w:val="24"/>
          <w:shd w:val="clear" w:color="auto" w:fill="FFFFFF"/>
          <w:lang w:val="en-US"/>
        </w:rPr>
        <w:t>(e.g., product model numbers, numbers in product or place names, and numbers on license plates)</w:t>
      </w:r>
      <w:r w:rsidRPr="0076311B">
        <w:rPr>
          <w:rFonts w:ascii="Times New Roman" w:hAnsi="Times New Roman"/>
          <w:sz w:val="24"/>
          <w:szCs w:val="24"/>
          <w:lang w:val="en-US"/>
        </w:rPr>
        <w:t>. In some</w:t>
      </w:r>
      <w:r w:rsidRPr="00872891">
        <w:rPr>
          <w:rFonts w:ascii="Times New Roman" w:hAnsi="Times New Roman"/>
          <w:sz w:val="24"/>
          <w:szCs w:val="24"/>
          <w:lang w:val="en-US"/>
        </w:rPr>
        <w:t xml:space="preserve"> cases, increasing numbers reflect better items. In others, they do not. For instance, a Canon A530 is not superior to an A460 digital camera. Likewise, Nokia 6110 is inferior to Nokia 6102. Though an average consumer is not knowledgeable about those numbers and how they are assigned to specific models (Gunasti and Ross Jr. 2010), we argue that they are there to serve a strategic mission. Those</w:t>
      </w:r>
      <w:r w:rsidRPr="00872891">
        <w:rPr>
          <w:rFonts w:ascii="Times New Roman" w:hAnsi="Times New Roman"/>
          <w:sz w:val="24"/>
          <w:szCs w:val="24"/>
          <w:shd w:val="clear" w:color="auto" w:fill="FFFFFF"/>
          <w:lang w:val="en-US"/>
        </w:rPr>
        <w:t xml:space="preserve"> numbers potentially act as attempts at price guidance. </w:t>
      </w:r>
    </w:p>
    <w:p w:rsidR="00683DBC" w:rsidRPr="00872891" w:rsidRDefault="00683DBC" w:rsidP="001C49E8">
      <w:pPr>
        <w:autoSpaceDE w:val="0"/>
        <w:autoSpaceDN w:val="0"/>
        <w:adjustRightInd w:val="0"/>
        <w:spacing w:after="0" w:line="240" w:lineRule="auto"/>
        <w:ind w:firstLine="708"/>
        <w:rPr>
          <w:rFonts w:ascii="Times New Roman" w:hAnsi="Times New Roman"/>
          <w:sz w:val="24"/>
          <w:szCs w:val="24"/>
          <w:lang w:val="en-US"/>
        </w:rPr>
      </w:pPr>
      <w:r w:rsidRPr="00872891">
        <w:rPr>
          <w:rFonts w:ascii="Times New Roman" w:hAnsi="Times New Roman"/>
          <w:sz w:val="24"/>
          <w:szCs w:val="24"/>
          <w:lang w:val="en-US"/>
        </w:rPr>
        <w:t xml:space="preserve">Consider BMW that uses car images with a European license plate displayed prominently in its print ads </w:t>
      </w:r>
      <w:r>
        <w:rPr>
          <w:rFonts w:ascii="Times New Roman" w:hAnsi="Times New Roman"/>
          <w:sz w:val="24"/>
          <w:szCs w:val="24"/>
          <w:lang w:val="en-US"/>
        </w:rPr>
        <w:t xml:space="preserve">in </w:t>
      </w:r>
      <w:smartTag w:uri="urn:schemas-microsoft-com:office:smarttags" w:element="place">
        <w:r>
          <w:rPr>
            <w:rFonts w:ascii="Times New Roman" w:hAnsi="Times New Roman"/>
            <w:sz w:val="24"/>
            <w:szCs w:val="24"/>
            <w:lang w:val="en-US"/>
          </w:rPr>
          <w:t>Europe</w:t>
        </w:r>
      </w:smartTag>
      <w:r>
        <w:rPr>
          <w:rFonts w:ascii="Times New Roman" w:hAnsi="Times New Roman"/>
          <w:sz w:val="24"/>
          <w:szCs w:val="24"/>
          <w:lang w:val="en-US"/>
        </w:rPr>
        <w:t xml:space="preserve"> </w:t>
      </w:r>
      <w:r w:rsidRPr="00872891">
        <w:rPr>
          <w:rFonts w:ascii="Times New Roman" w:hAnsi="Times New Roman"/>
          <w:sz w:val="24"/>
          <w:szCs w:val="24"/>
          <w:lang w:val="en-US"/>
        </w:rPr>
        <w:t xml:space="preserve">where the licenses are all in the format "L LL XXXX" where Ls are letters and Xs are numbers. There is clearly a correlation between the numbers in the license plates and the </w:t>
      </w:r>
      <w:r w:rsidR="00EC23B2">
        <w:rPr>
          <w:rFonts w:ascii="Times New Roman" w:hAnsi="Times New Roman"/>
          <w:sz w:val="24"/>
          <w:szCs w:val="24"/>
          <w:lang w:val="en-US"/>
        </w:rPr>
        <w:t xml:space="preserve">price </w:t>
      </w:r>
      <w:r w:rsidRPr="00872891">
        <w:rPr>
          <w:rFonts w:ascii="Times New Roman" w:hAnsi="Times New Roman"/>
          <w:sz w:val="24"/>
          <w:szCs w:val="24"/>
          <w:lang w:val="en-US"/>
        </w:rPr>
        <w:t xml:space="preserve">of the cars. Specifically, if a zero is added to the number on the plate, the resulting number seems to be generally higher than the </w:t>
      </w:r>
      <w:r w:rsidR="00EC23B2">
        <w:rPr>
          <w:rFonts w:ascii="Times New Roman" w:hAnsi="Times New Roman"/>
          <w:sz w:val="24"/>
          <w:szCs w:val="24"/>
          <w:lang w:val="en-US"/>
        </w:rPr>
        <w:t>price</w:t>
      </w:r>
      <w:r w:rsidRPr="00872891">
        <w:rPr>
          <w:rFonts w:ascii="Times New Roman" w:hAnsi="Times New Roman"/>
          <w:sz w:val="24"/>
          <w:szCs w:val="24"/>
          <w:lang w:val="en-US"/>
        </w:rPr>
        <w:t xml:space="preserve"> for low and mid-priced model</w:t>
      </w:r>
      <w:r w:rsidR="00EC23B2">
        <w:rPr>
          <w:rFonts w:ascii="Times New Roman" w:hAnsi="Times New Roman"/>
          <w:sz w:val="24"/>
          <w:szCs w:val="24"/>
          <w:lang w:val="en-US"/>
        </w:rPr>
        <w:t>s and generally lower than the price</w:t>
      </w:r>
      <w:r w:rsidRPr="00872891">
        <w:rPr>
          <w:rFonts w:ascii="Times New Roman" w:hAnsi="Times New Roman"/>
          <w:sz w:val="24"/>
          <w:szCs w:val="24"/>
          <w:lang w:val="en-US"/>
        </w:rPr>
        <w:t xml:space="preserve"> for high priced models. It is almost as if there is a not so subtle attempt at price guidance in the choice of numbers for the license plates. </w:t>
      </w:r>
    </w:p>
    <w:p w:rsidR="00683DBC" w:rsidRPr="00872891" w:rsidRDefault="00683DBC" w:rsidP="001C49E8">
      <w:pPr>
        <w:autoSpaceDE w:val="0"/>
        <w:autoSpaceDN w:val="0"/>
        <w:adjustRightInd w:val="0"/>
        <w:spacing w:after="0" w:line="240" w:lineRule="auto"/>
        <w:ind w:firstLine="708"/>
        <w:rPr>
          <w:rFonts w:ascii="Times New Roman" w:hAnsi="Times New Roman"/>
          <w:sz w:val="24"/>
          <w:szCs w:val="24"/>
          <w:lang w:val="en-US"/>
        </w:rPr>
      </w:pPr>
      <w:r w:rsidRPr="00872891">
        <w:rPr>
          <w:rFonts w:ascii="Times New Roman" w:hAnsi="Times New Roman"/>
          <w:sz w:val="24"/>
          <w:szCs w:val="24"/>
          <w:shd w:val="clear" w:color="auto" w:fill="FFFFFF"/>
          <w:lang w:val="en-US"/>
        </w:rPr>
        <w:t>This paper explores the effect of seemin</w:t>
      </w:r>
      <w:r w:rsidR="00F06AA7">
        <w:rPr>
          <w:rFonts w:ascii="Times New Roman" w:hAnsi="Times New Roman"/>
          <w:sz w:val="24"/>
          <w:szCs w:val="24"/>
          <w:shd w:val="clear" w:color="auto" w:fill="FFFFFF"/>
          <w:lang w:val="en-US"/>
        </w:rPr>
        <w:t xml:space="preserve">gly random numbers in marketing </w:t>
      </w:r>
      <w:r w:rsidRPr="00872891">
        <w:rPr>
          <w:rFonts w:ascii="Times New Roman" w:hAnsi="Times New Roman"/>
          <w:sz w:val="24"/>
          <w:szCs w:val="24"/>
          <w:shd w:val="clear" w:color="auto" w:fill="FFFFFF"/>
          <w:lang w:val="en-US"/>
        </w:rPr>
        <w:t>communications on consumers’ willingness to pay (WTP).</w:t>
      </w:r>
      <w:r w:rsidRPr="00872891">
        <w:rPr>
          <w:rFonts w:ascii="Times New Roman" w:hAnsi="Times New Roman"/>
          <w:sz w:val="24"/>
          <w:szCs w:val="24"/>
          <w:lang w:val="en-US"/>
        </w:rPr>
        <w:t xml:space="preserve"> More specifically, we examine the differential effect of incidental environmental anchors (IEA) on consumers’ WTP as a function of the product category. We suggest that although consumers are not aware of the link between the numbers and the price of the product, not only do they base their WTP on the random number but also </w:t>
      </w:r>
      <w:r w:rsidRPr="00872891">
        <w:rPr>
          <w:rFonts w:ascii="Times New Roman" w:hAnsi="Times New Roman"/>
          <w:sz w:val="24"/>
          <w:szCs w:val="24"/>
          <w:shd w:val="clear" w:color="auto" w:fill="FFFFFF"/>
          <w:lang w:val="en-US"/>
        </w:rPr>
        <w:t xml:space="preserve">adjust the numbers to resemble acceptable prices for a given product category. </w:t>
      </w:r>
      <w:r w:rsidRPr="00872891">
        <w:rPr>
          <w:rFonts w:ascii="Times New Roman" w:hAnsi="Times New Roman"/>
          <w:sz w:val="24"/>
          <w:szCs w:val="24"/>
          <w:lang w:val="en-US"/>
        </w:rPr>
        <w:t xml:space="preserve">Taking a context-dependent view of anchoring, we suggest that consumers alter and adapt the anchors to fit them into appropriate value range and that range changes from context to another. In a series of experimental studies, we test and demonstrate that individuals’ price expectations, thus their WTPs, are affected by those ‘adapted’ incidental numbers. </w:t>
      </w:r>
    </w:p>
    <w:p w:rsidR="00D4118B" w:rsidRDefault="00D4118B" w:rsidP="000164A0">
      <w:pPr>
        <w:autoSpaceDE w:val="0"/>
        <w:autoSpaceDN w:val="0"/>
        <w:adjustRightInd w:val="0"/>
        <w:spacing w:after="0" w:line="240" w:lineRule="auto"/>
        <w:ind w:firstLine="708"/>
        <w:jc w:val="center"/>
        <w:rPr>
          <w:rFonts w:ascii="Times New Roman" w:hAnsi="Times New Roman"/>
          <w:b/>
          <w:sz w:val="24"/>
          <w:szCs w:val="24"/>
          <w:shd w:val="clear" w:color="auto" w:fill="FFFFFF"/>
          <w:lang w:val="en-US"/>
        </w:rPr>
      </w:pPr>
    </w:p>
    <w:p w:rsidR="00683DBC" w:rsidRPr="000164A0" w:rsidRDefault="000164A0" w:rsidP="000164A0">
      <w:pPr>
        <w:autoSpaceDE w:val="0"/>
        <w:autoSpaceDN w:val="0"/>
        <w:adjustRightInd w:val="0"/>
        <w:spacing w:after="0" w:line="240" w:lineRule="auto"/>
        <w:ind w:firstLine="708"/>
        <w:jc w:val="center"/>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CONCEPTUAL FRAMEWORK</w:t>
      </w:r>
    </w:p>
    <w:p w:rsidR="00683DBC" w:rsidRPr="0087289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Incidental Environmental Anchoring</w:t>
      </w:r>
    </w:p>
    <w:p w:rsidR="00683DBC" w:rsidRPr="00872891" w:rsidRDefault="00683DBC" w:rsidP="007F0517">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The idea that use of numbers as anchors to manage individuals’ numerical estimates is not new. We have known for some time that when</w:t>
      </w:r>
      <w:r w:rsidRPr="00872891">
        <w:rPr>
          <w:rFonts w:ascii="Times New Roman" w:hAnsi="Times New Roman"/>
          <w:sz w:val="24"/>
          <w:szCs w:val="24"/>
          <w:lang w:val="en-US"/>
        </w:rPr>
        <w:t xml:space="preserve"> participants are given a number as an anchor and then asked to provide estimates, they are influenced by the random initial value</w:t>
      </w:r>
      <w:r w:rsidRPr="00872891">
        <w:rPr>
          <w:rFonts w:ascii="Times New Roman" w:hAnsi="Times New Roman"/>
          <w:sz w:val="24"/>
          <w:szCs w:val="24"/>
          <w:shd w:val="clear" w:color="auto" w:fill="FFFFFF"/>
          <w:lang w:val="en-US"/>
        </w:rPr>
        <w:t xml:space="preserve"> </w:t>
      </w:r>
      <w:r w:rsidRPr="00872891">
        <w:rPr>
          <w:rFonts w:ascii="Times New Roman" w:hAnsi="Times New Roman"/>
          <w:sz w:val="24"/>
          <w:szCs w:val="24"/>
          <w:lang w:val="en-US"/>
        </w:rPr>
        <w:t xml:space="preserve">(Tversky and Kahneman 1974). </w:t>
      </w:r>
      <w:r w:rsidRPr="00872891">
        <w:rPr>
          <w:rFonts w:ascii="Times New Roman" w:eastAsia="Arial Unicode MS" w:hAnsi="Times New Roman"/>
          <w:sz w:val="24"/>
          <w:szCs w:val="24"/>
          <w:shd w:val="clear" w:color="auto" w:fill="FFFFFF"/>
          <w:lang w:val="en-US"/>
        </w:rPr>
        <w:t xml:space="preserve">Selective accessibility framework argues that anchoring occurs in such cases because when individuals are asked a comparative question (e.g., whether the Mississippi river is shorter or longer than 70 miles), they take it as a hypothesis (Is the </w:t>
      </w:r>
      <w:smartTag w:uri="urn:schemas-microsoft-com:office:smarttags" w:element="place">
        <w:r w:rsidRPr="00872891">
          <w:rPr>
            <w:rFonts w:ascii="Times New Roman" w:eastAsia="Arial Unicode MS" w:hAnsi="Times New Roman"/>
            <w:sz w:val="24"/>
            <w:szCs w:val="24"/>
            <w:shd w:val="clear" w:color="auto" w:fill="FFFFFF"/>
            <w:lang w:val="en-US"/>
          </w:rPr>
          <w:t>Mississippi river</w:t>
        </w:r>
      </w:smartTag>
      <w:r w:rsidRPr="00872891">
        <w:rPr>
          <w:rFonts w:ascii="Times New Roman" w:eastAsia="Arial Unicode MS" w:hAnsi="Times New Roman"/>
          <w:sz w:val="24"/>
          <w:szCs w:val="24"/>
          <w:shd w:val="clear" w:color="auto" w:fill="FFFFFF"/>
          <w:lang w:val="en-US"/>
        </w:rPr>
        <w:t xml:space="preserve"> 70 miles long ?) and seek for anchor-consistent information (</w:t>
      </w:r>
      <w:r w:rsidRPr="00872891">
        <w:rPr>
          <w:rFonts w:ascii="Times New Roman" w:hAnsi="Times New Roman"/>
          <w:sz w:val="24"/>
          <w:szCs w:val="24"/>
          <w:shd w:val="clear" w:color="auto" w:fill="FFFFFF"/>
          <w:lang w:val="en-US"/>
        </w:rPr>
        <w:t>Mochon and Frederick</w:t>
      </w:r>
      <w:r w:rsidRPr="00872891">
        <w:rPr>
          <w:rFonts w:ascii="Times New Roman" w:eastAsia="Arial Unicode MS" w:hAnsi="Times New Roman"/>
          <w:sz w:val="24"/>
          <w:szCs w:val="24"/>
          <w:shd w:val="clear" w:color="auto" w:fill="FFFFFF"/>
          <w:lang w:val="en-US"/>
        </w:rPr>
        <w:t xml:space="preserve"> 2013). Therefore, </w:t>
      </w:r>
      <w:r w:rsidRPr="00872891">
        <w:rPr>
          <w:rFonts w:ascii="Times New Roman" w:hAnsi="Times New Roman"/>
          <w:sz w:val="24"/>
          <w:szCs w:val="24"/>
          <w:shd w:val="clear" w:color="auto" w:fill="FFFFFF"/>
          <w:lang w:val="en-US"/>
        </w:rPr>
        <w:t xml:space="preserve">estimates are assimilated toward the anchor. </w:t>
      </w:r>
      <w:r w:rsidRPr="00872891">
        <w:rPr>
          <w:rFonts w:ascii="Times New Roman" w:hAnsi="Times New Roman"/>
          <w:sz w:val="24"/>
          <w:szCs w:val="24"/>
          <w:lang w:val="en-US"/>
        </w:rPr>
        <w:t>Even in cases when the numerical value is not supplied by the experimenter but rather exists in the environment</w:t>
      </w:r>
      <w:r w:rsidRPr="00872891">
        <w:rPr>
          <w:rFonts w:ascii="Times New Roman" w:hAnsi="Times New Roman"/>
          <w:sz w:val="24"/>
          <w:szCs w:val="24"/>
          <w:shd w:val="clear" w:color="auto" w:fill="FFFFFF"/>
          <w:lang w:val="en-US"/>
        </w:rPr>
        <w:t xml:space="preserve">, numbers seem to influence judgments. </w:t>
      </w:r>
      <w:r w:rsidRPr="00872891">
        <w:rPr>
          <w:rFonts w:ascii="Times New Roman" w:hAnsi="Times New Roman"/>
          <w:sz w:val="24"/>
          <w:szCs w:val="24"/>
          <w:lang w:val="en-US"/>
        </w:rPr>
        <w:t xml:space="preserve">For example, </w:t>
      </w:r>
      <w:r w:rsidRPr="00872891">
        <w:rPr>
          <w:rFonts w:ascii="Times New Roman" w:hAnsi="Times New Roman"/>
          <w:sz w:val="24"/>
          <w:szCs w:val="24"/>
          <w:shd w:val="clear" w:color="auto" w:fill="FFFFFF"/>
          <w:lang w:val="en-US"/>
        </w:rPr>
        <w:t xml:space="preserve">Krishna et al. (2006) show that </w:t>
      </w:r>
      <w:r w:rsidRPr="00872891">
        <w:rPr>
          <w:rFonts w:ascii="Times New Roman" w:hAnsi="Times New Roman"/>
          <w:sz w:val="24"/>
          <w:szCs w:val="24"/>
          <w:lang w:val="en-US" w:eastAsia="ja-JP"/>
        </w:rPr>
        <w:t xml:space="preserve">consumers’ price estimates are higher for a camera if they are exposed to an extreme-priced product in the catalog. Their results </w:t>
      </w:r>
      <w:r w:rsidRPr="00872891">
        <w:rPr>
          <w:rFonts w:ascii="Times New Roman" w:hAnsi="Times New Roman"/>
          <w:sz w:val="24"/>
          <w:szCs w:val="24"/>
          <w:lang w:val="en-US" w:eastAsia="ja-JP"/>
        </w:rPr>
        <w:lastRenderedPageBreak/>
        <w:t xml:space="preserve">suggest that one extreme cue can affect the reservation price for many related items and many product categories. </w:t>
      </w:r>
      <w:r w:rsidRPr="00872891">
        <w:rPr>
          <w:rFonts w:ascii="Times New Roman" w:hAnsi="Times New Roman"/>
          <w:sz w:val="24"/>
          <w:szCs w:val="24"/>
          <w:shd w:val="clear" w:color="auto" w:fill="FFFFFF"/>
          <w:lang w:val="en-US"/>
        </w:rPr>
        <w:t xml:space="preserve"> </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In the above examples, either the experimenter or the context supplies anchors that affect subsequent judgments.  If a number is provided when there is a need to make numerical judgments, consumers retrieve anchor-consistent knowledge from</w:t>
      </w:r>
      <w:r w:rsidRPr="00872891">
        <w:rPr>
          <w:rFonts w:ascii="Times New Roman" w:hAnsi="Times New Roman"/>
          <w:sz w:val="24"/>
          <w:szCs w:val="24"/>
          <w:lang w:val="en-US"/>
        </w:rPr>
        <w:t xml:space="preserve"> </w:t>
      </w:r>
      <w:r w:rsidRPr="00872891">
        <w:rPr>
          <w:rFonts w:ascii="Times New Roman" w:hAnsi="Times New Roman"/>
          <w:sz w:val="24"/>
          <w:szCs w:val="24"/>
          <w:shd w:val="clear" w:color="auto" w:fill="FFFFFF"/>
          <w:lang w:val="en-US"/>
        </w:rPr>
        <w:t>memory, making the estimates close to the anchor.  While a substantial body of research suggests that consumers’ numeric decisions are affected by experimenter or context-induced numbers that are activated before the decision is made, relatively less attention has been devoted to understanding when and how totally incidental numbers impact valuations. A recent exception is research by Critcher and Gilovich (2008) who show that even jersey numbers on football players affect the probability estimates of sacking the quarterback. Participants who saw the player wearing number 94 estimated his probability of sacking the quarterback in his next game higher than those who saw him wearing number 54. Numerical priming essentially suggests that a</w:t>
      </w:r>
      <w:r w:rsidRPr="00872891">
        <w:rPr>
          <w:rStyle w:val="Emphasis"/>
          <w:rFonts w:ascii="Times New Roman" w:eastAsia="Arial Unicode MS" w:hAnsi="Times New Roman"/>
          <w:i w:val="0"/>
          <w:sz w:val="24"/>
          <w:szCs w:val="24"/>
          <w:bdr w:val="none" w:sz="0" w:space="0" w:color="auto" w:frame="1"/>
          <w:shd w:val="clear" w:color="auto" w:fill="FFFFFF"/>
          <w:lang w:val="en-US"/>
        </w:rPr>
        <w:t>ny</w:t>
      </w:r>
      <w:r w:rsidRPr="00872891">
        <w:rPr>
          <w:rStyle w:val="apple-converted-space"/>
          <w:rFonts w:ascii="Times New Roman" w:eastAsia="Arial Unicode MS" w:hAnsi="Times New Roman"/>
          <w:sz w:val="24"/>
          <w:szCs w:val="24"/>
          <w:shd w:val="clear" w:color="auto" w:fill="FFFFFF"/>
          <w:lang w:val="en-US"/>
        </w:rPr>
        <w:t> </w:t>
      </w:r>
      <w:r w:rsidRPr="00872891">
        <w:rPr>
          <w:rFonts w:ascii="Times New Roman" w:eastAsia="Arial Unicode MS" w:hAnsi="Times New Roman"/>
          <w:sz w:val="24"/>
          <w:szCs w:val="24"/>
          <w:shd w:val="clear" w:color="auto" w:fill="FFFFFF"/>
          <w:lang w:val="en-US"/>
        </w:rPr>
        <w:t xml:space="preserve">number in the environment at the moment of judgment may serve as an anchor. </w:t>
      </w:r>
      <w:r w:rsidRPr="00872891">
        <w:rPr>
          <w:rStyle w:val="Emphasis"/>
          <w:rFonts w:ascii="Times New Roman" w:eastAsia="Arial Unicode MS" w:hAnsi="Times New Roman"/>
          <w:i w:val="0"/>
          <w:sz w:val="24"/>
          <w:szCs w:val="24"/>
          <w:bdr w:val="none" w:sz="0" w:space="0" w:color="auto" w:frame="1"/>
          <w:shd w:val="clear" w:color="auto" w:fill="FFFFFF"/>
          <w:lang w:val="en-US"/>
        </w:rPr>
        <w:t>A minimal amount of attention to incidental numbers is sufficient to anchor numerical answers to unrelated questions</w:t>
      </w:r>
      <w:r w:rsidRPr="00872891">
        <w:rPr>
          <w:rFonts w:ascii="Times New Roman" w:eastAsia="Arial Unicode MS" w:hAnsi="Times New Roman"/>
          <w:sz w:val="24"/>
          <w:szCs w:val="24"/>
          <w:shd w:val="clear" w:color="auto" w:fill="FFFFFF"/>
          <w:lang w:val="en-US"/>
        </w:rPr>
        <w:t xml:space="preserve"> (</w:t>
      </w:r>
      <w:r w:rsidRPr="00872891">
        <w:rPr>
          <w:rFonts w:ascii="Times New Roman" w:eastAsia="Arial Unicode MS" w:hAnsi="Times New Roman"/>
          <w:sz w:val="24"/>
          <w:szCs w:val="24"/>
          <w:bdr w:val="none" w:sz="0" w:space="0" w:color="auto" w:frame="1"/>
          <w:shd w:val="clear" w:color="auto" w:fill="FFFFFF"/>
          <w:lang w:val="en-US"/>
        </w:rPr>
        <w:t>Wils</w:t>
      </w:r>
      <w:r w:rsidR="00D4118B">
        <w:rPr>
          <w:rFonts w:ascii="Times New Roman" w:eastAsia="Arial Unicode MS" w:hAnsi="Times New Roman"/>
          <w:sz w:val="24"/>
          <w:szCs w:val="24"/>
          <w:bdr w:val="none" w:sz="0" w:space="0" w:color="auto" w:frame="1"/>
          <w:shd w:val="clear" w:color="auto" w:fill="FFFFFF"/>
          <w:lang w:val="en-US"/>
        </w:rPr>
        <w:t xml:space="preserve">on, Houston, Etling and Brekke </w:t>
      </w:r>
      <w:r w:rsidRPr="00872891">
        <w:rPr>
          <w:rFonts w:ascii="Times New Roman" w:eastAsia="Arial Unicode MS" w:hAnsi="Times New Roman"/>
          <w:sz w:val="24"/>
          <w:szCs w:val="24"/>
          <w:bdr w:val="none" w:sz="0" w:space="0" w:color="auto" w:frame="1"/>
          <w:shd w:val="clear" w:color="auto" w:fill="FFFFFF"/>
          <w:lang w:val="en-US"/>
        </w:rPr>
        <w:t>1996</w:t>
      </w:r>
      <w:r w:rsidRPr="00872891">
        <w:rPr>
          <w:rFonts w:ascii="Times New Roman" w:eastAsia="Arial Unicode MS" w:hAnsi="Times New Roman"/>
          <w:sz w:val="24"/>
          <w:szCs w:val="24"/>
          <w:shd w:val="clear" w:color="auto" w:fill="FFFFFF"/>
          <w:lang w:val="en-US"/>
        </w:rPr>
        <w:t xml:space="preserve">). </w:t>
      </w:r>
      <w:r w:rsidRPr="00872891">
        <w:rPr>
          <w:rFonts w:ascii="Times New Roman" w:hAnsi="Times New Roman"/>
          <w:sz w:val="24"/>
          <w:szCs w:val="24"/>
          <w:shd w:val="clear" w:color="auto" w:fill="FFFFFF"/>
          <w:lang w:val="en-US"/>
        </w:rPr>
        <w:t>Although Critcher and Gilovich (2008) provide important insights as to how incidental environmental anchoring (IEA) operates, their research does not discuss the potential anchor values that should be employed for different product categories to get intended reactions. The present research tries to fill this gap in the literature. Central to our hypothesis is that a consumer’s WTP is affected by incidental numbers that are in no way related to the price of the product.</w:t>
      </w:r>
      <w:r w:rsidRPr="00872891">
        <w:rPr>
          <w:rFonts w:ascii="Times New Roman" w:eastAsia="Arial Unicode MS" w:hAnsi="Times New Roman"/>
          <w:sz w:val="24"/>
          <w:szCs w:val="24"/>
          <w:shd w:val="clear" w:color="auto" w:fill="FFFFFF"/>
          <w:lang w:val="en-US"/>
        </w:rPr>
        <w:t xml:space="preserve"> </w:t>
      </w:r>
      <w:r w:rsidRPr="00872891">
        <w:rPr>
          <w:rFonts w:ascii="Times New Roman" w:hAnsi="Times New Roman"/>
          <w:sz w:val="24"/>
          <w:szCs w:val="24"/>
          <w:shd w:val="clear" w:color="auto" w:fill="FFFFFF"/>
          <w:lang w:val="en-US"/>
        </w:rPr>
        <w:t xml:space="preserve">We posit and demonstrate that anchors exert context-specific effects in consumer-generated anchors. </w:t>
      </w:r>
    </w:p>
    <w:p w:rsidR="00683DBC" w:rsidRPr="001C49E8" w:rsidRDefault="00683DBC" w:rsidP="007F0517">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1C49E8">
        <w:rPr>
          <w:rFonts w:ascii="Times New Roman" w:hAnsi="Times New Roman"/>
          <w:sz w:val="24"/>
          <w:szCs w:val="24"/>
          <w:shd w:val="clear" w:color="auto" w:fill="FFFFFF"/>
          <w:lang w:val="en-US"/>
        </w:rPr>
        <w:t>Context-dependent Effects on Consumer Valuations</w:t>
      </w:r>
    </w:p>
    <w:p w:rsidR="00683DBC" w:rsidRPr="001C49E8" w:rsidRDefault="00683DBC" w:rsidP="007F0517">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1C49E8">
        <w:rPr>
          <w:rFonts w:ascii="Times New Roman" w:hAnsi="Times New Roman"/>
          <w:sz w:val="24"/>
          <w:szCs w:val="24"/>
          <w:shd w:val="clear" w:color="auto" w:fill="FFFFFF"/>
        </w:rPr>
        <w:t xml:space="preserve">Individuals’ judgments are affected by the context of concomitant stimuli. </w:t>
      </w:r>
      <w:r w:rsidRPr="001C49E8">
        <w:rPr>
          <w:rFonts w:ascii="Times New Roman" w:hAnsi="Times New Roman"/>
          <w:sz w:val="24"/>
          <w:szCs w:val="24"/>
        </w:rPr>
        <w:t xml:space="preserve">Past research has shown that numerical values may take different meanings depending on the context and that the same number may lead to different evaluations (Parducci 1965). </w:t>
      </w:r>
      <w:r w:rsidRPr="001C49E8">
        <w:rPr>
          <w:rFonts w:ascii="Times New Roman" w:eastAsia="Arial Unicode MS" w:hAnsi="Times New Roman"/>
          <w:sz w:val="24"/>
          <w:szCs w:val="24"/>
        </w:rPr>
        <w:t xml:space="preserve">For instance, </w:t>
      </w:r>
      <w:r w:rsidRPr="001C49E8">
        <w:rPr>
          <w:rFonts w:ascii="Times New Roman" w:hAnsi="Times New Roman"/>
          <w:color w:val="000000"/>
          <w:sz w:val="24"/>
          <w:szCs w:val="24"/>
        </w:rPr>
        <w:t>numerical values can be represented in alternative units and the type of unit used may impact consumers’ perceptions and judgments (</w:t>
      </w:r>
      <w:r w:rsidRPr="001C49E8">
        <w:rPr>
          <w:rFonts w:ascii="Times New Roman" w:hAnsi="Times New Roman"/>
          <w:sz w:val="24"/>
          <w:szCs w:val="24"/>
          <w:shd w:val="clear" w:color="auto" w:fill="FFFFFF"/>
        </w:rPr>
        <w:t>Pandelaere, Briers, and Lembregts</w:t>
      </w:r>
      <w:r w:rsidRPr="001C49E8">
        <w:rPr>
          <w:rFonts w:ascii="Times New Roman" w:hAnsi="Times New Roman"/>
          <w:color w:val="000000"/>
          <w:sz w:val="24"/>
          <w:szCs w:val="24"/>
        </w:rPr>
        <w:t xml:space="preserve"> 2011; </w:t>
      </w:r>
      <w:r w:rsidRPr="001C49E8">
        <w:rPr>
          <w:rFonts w:ascii="Times New Roman" w:hAnsi="Times New Roman"/>
          <w:sz w:val="24"/>
          <w:szCs w:val="24"/>
          <w:shd w:val="clear" w:color="auto" w:fill="FFFFFF"/>
        </w:rPr>
        <w:t>Zhang and and Schwarz 2012</w:t>
      </w:r>
      <w:r w:rsidRPr="001C49E8">
        <w:rPr>
          <w:rFonts w:ascii="Times New Roman" w:hAnsi="Times New Roman"/>
          <w:color w:val="000000"/>
          <w:sz w:val="24"/>
          <w:szCs w:val="24"/>
        </w:rPr>
        <w:t>). The unit effect postulates that when individuals come across unfamiliar units (e.g., temperatures in the unfamiliar Celsius scale for Americans); they tend to translate those units into a familiar unit (e.g., Fahrenheit) to be able to make sense of the numbers. Since this conversion is rather difficult, consumers are likely to guesstimate rather than calculate the exact values.</w:t>
      </w:r>
      <w:r w:rsidRPr="001C49E8">
        <w:rPr>
          <w:rFonts w:ascii="Times New Roman" w:hAnsi="Times New Roman"/>
          <w:sz w:val="24"/>
          <w:szCs w:val="24"/>
          <w:shd w:val="clear" w:color="auto" w:fill="FFFFFF"/>
        </w:rPr>
        <w:t xml:space="preserve"> Pandelaere, Briers, and Lembregts</w:t>
      </w:r>
      <w:r w:rsidRPr="001C49E8">
        <w:rPr>
          <w:rFonts w:ascii="Times New Roman" w:hAnsi="Times New Roman"/>
          <w:color w:val="000000"/>
          <w:sz w:val="24"/>
          <w:szCs w:val="24"/>
        </w:rPr>
        <w:t xml:space="preserve"> (2011) argue that this imprecise conversion may render consumers vulnerable to anchoring effects. For instance, consumers tend to spend less in a foreign country if the value of that currency is lower than the value of their own currency (Raghubir and Srivastava 2002).</w:t>
      </w:r>
    </w:p>
    <w:p w:rsidR="00683DBC" w:rsidRDefault="00D4118B" w:rsidP="0050754D">
      <w:pPr>
        <w:pStyle w:val="textindent"/>
        <w:shd w:val="clear" w:color="auto" w:fill="FFFFFF"/>
        <w:spacing w:before="113" w:beforeAutospacing="0" w:after="113" w:afterAutospacing="0"/>
        <w:ind w:firstLine="708"/>
        <w:rPr>
          <w:rFonts w:eastAsia="Arial Unicode MS"/>
        </w:rPr>
      </w:pPr>
      <w:r>
        <w:rPr>
          <w:shd w:val="clear" w:color="auto" w:fill="FFFFFF"/>
        </w:rPr>
        <w:t>Frederick</w:t>
      </w:r>
      <w:r w:rsidR="00683DBC" w:rsidRPr="00872891">
        <w:rPr>
          <w:shd w:val="clear" w:color="auto" w:fill="FFFFFF"/>
        </w:rPr>
        <w:t xml:space="preserve"> and Mochon </w:t>
      </w:r>
      <w:r w:rsidR="00683DBC">
        <w:rPr>
          <w:shd w:val="clear" w:color="auto" w:fill="FFFFFF"/>
        </w:rPr>
        <w:t>(</w:t>
      </w:r>
      <w:r w:rsidR="00683DBC" w:rsidRPr="00872891">
        <w:rPr>
          <w:shd w:val="clear" w:color="auto" w:fill="FFFFFF"/>
        </w:rPr>
        <w:t>2012</w:t>
      </w:r>
      <w:r w:rsidR="00683DBC">
        <w:rPr>
          <w:shd w:val="clear" w:color="auto" w:fill="FFFFFF"/>
        </w:rPr>
        <w:t xml:space="preserve">) have also alluded that context has a big impact on the ways in which anchoring operates. </w:t>
      </w:r>
      <w:r w:rsidR="00683DBC" w:rsidRPr="00872891">
        <w:rPr>
          <w:shd w:val="clear" w:color="auto" w:fill="FFFFFF"/>
        </w:rPr>
        <w:t>If individuals are to make estimates on two different items employing the same response scale, they tend to change the use of the scale to reflect the change in the items</w:t>
      </w:r>
      <w:r w:rsidR="00683DBC" w:rsidRPr="00872891">
        <w:rPr>
          <w:color w:val="000000"/>
          <w:shd w:val="clear" w:color="auto" w:fill="FFFFFF"/>
        </w:rPr>
        <w:t xml:space="preserve">. </w:t>
      </w:r>
      <w:r w:rsidR="00683DBC" w:rsidRPr="00872891">
        <w:rPr>
          <w:shd w:val="clear" w:color="auto" w:fill="FFFFFF"/>
        </w:rPr>
        <w:t xml:space="preserve">So in a way, </w:t>
      </w:r>
      <w:r w:rsidR="00683DBC" w:rsidRPr="00872891">
        <w:rPr>
          <w:rStyle w:val="a01867dictionarytermdocdashedbottom"/>
          <w:shd w:val="clear" w:color="auto" w:fill="FFFFFF"/>
        </w:rPr>
        <w:t>anchoring</w:t>
      </w:r>
      <w:r w:rsidR="00683DBC" w:rsidRPr="00872891">
        <w:rPr>
          <w:rStyle w:val="apple-converted-space"/>
          <w:shd w:val="clear" w:color="auto" w:fill="FFFFFF"/>
        </w:rPr>
        <w:t> </w:t>
      </w:r>
      <w:r w:rsidR="00683DBC" w:rsidRPr="00872891">
        <w:rPr>
          <w:shd w:val="clear" w:color="auto" w:fill="FFFFFF"/>
        </w:rPr>
        <w:t>effects are due to the distortion of a particular response scale</w:t>
      </w:r>
      <w:r w:rsidR="00683DBC">
        <w:rPr>
          <w:shd w:val="clear" w:color="auto" w:fill="FFFFFF"/>
        </w:rPr>
        <w:t xml:space="preserve">. </w:t>
      </w:r>
      <w:r w:rsidR="00683DBC" w:rsidRPr="00872891">
        <w:rPr>
          <w:rFonts w:eastAsia="Arial Unicode MS"/>
        </w:rPr>
        <w:t xml:space="preserve">For instance, when a 70 mile anchor is presented, estimates of the length of the </w:t>
      </w:r>
      <w:smartTag w:uri="urn:schemas-microsoft-com:office:smarttags" w:element="place">
        <w:r w:rsidR="00683DBC" w:rsidRPr="00872891">
          <w:rPr>
            <w:rFonts w:eastAsia="Arial Unicode MS"/>
          </w:rPr>
          <w:t>Mississippi river</w:t>
        </w:r>
      </w:smartTag>
      <w:r w:rsidR="00683DBC" w:rsidRPr="00872891">
        <w:rPr>
          <w:rFonts w:eastAsia="Arial Unicode MS"/>
        </w:rPr>
        <w:t xml:space="preserve"> are lower because individuals use a different number on the miles scale. In a similar vein, </w:t>
      </w:r>
      <w:r w:rsidR="00683DBC" w:rsidRPr="00872891">
        <w:rPr>
          <w:rFonts w:eastAsia="Arial Unicode MS"/>
          <w:shd w:val="clear" w:color="auto" w:fill="FFFFFF"/>
        </w:rPr>
        <w:t xml:space="preserve">respondents who were first asked to estimate the weight of a wolf later judged ‘1000 lbs’ as bigger, pointing out larger animals when asked to specify an animal that weighs around </w:t>
      </w:r>
      <w:r w:rsidR="00683DBC" w:rsidRPr="00872891">
        <w:rPr>
          <w:rFonts w:eastAsia="Arial Unicode MS"/>
          <w:shd w:val="clear" w:color="auto" w:fill="FFFFFF"/>
        </w:rPr>
        <w:lastRenderedPageBreak/>
        <w:t>1000 lbs.</w:t>
      </w:r>
      <w:r w:rsidR="00683DBC" w:rsidRPr="00872891">
        <w:rPr>
          <w:rStyle w:val="apple-converted-space"/>
          <w:rFonts w:eastAsia="Arial Unicode MS"/>
          <w:shd w:val="clear" w:color="auto" w:fill="FFFFFF"/>
        </w:rPr>
        <w:t> </w:t>
      </w:r>
      <w:r w:rsidR="00683DBC" w:rsidRPr="00872891">
        <w:rPr>
          <w:rFonts w:eastAsia="Arial Unicode MS"/>
        </w:rPr>
        <w:t xml:space="preserve">The scale distortion theory of anchoring contends that numeric anchors do not affect the beliefs about the stimulus; rather the use of the scale is altered </w:t>
      </w:r>
      <w:r w:rsidR="00683DBC">
        <w:rPr>
          <w:rFonts w:eastAsia="Arial Unicode MS"/>
        </w:rPr>
        <w:t>and adapted to fit the context.</w:t>
      </w:r>
    </w:p>
    <w:p w:rsidR="00683DBC" w:rsidRPr="00642CAA" w:rsidRDefault="00683DBC" w:rsidP="0050754D">
      <w:pPr>
        <w:pStyle w:val="textindent"/>
        <w:shd w:val="clear" w:color="auto" w:fill="FFFFFF"/>
        <w:spacing w:before="113" w:beforeAutospacing="0" w:after="113" w:afterAutospacing="0"/>
        <w:ind w:firstLine="708"/>
        <w:rPr>
          <w:rFonts w:eastAsia="Arial Unicode MS"/>
        </w:rPr>
      </w:pPr>
      <w:r w:rsidRPr="00C759E8">
        <w:rPr>
          <w:rFonts w:eastAsia="Arial Unicode MS"/>
        </w:rPr>
        <w:t xml:space="preserve">Following this logic, we argue that anchoring effect is context-dependent and taking </w:t>
      </w:r>
      <w:r>
        <w:rPr>
          <w:shd w:val="clear" w:color="auto" w:fill="FFFFFF"/>
        </w:rPr>
        <w:t xml:space="preserve">previous research on context and unit effects a step further suggest that individuals not only change the use of the scale to fit the context but alter the numbers altogether to fit into new domains. </w:t>
      </w:r>
      <w:r>
        <w:rPr>
          <w:rFonts w:eastAsia="Arial Unicode MS"/>
        </w:rPr>
        <w:t>That is, the same numerical value may serve as a lower bound for item X whereas it is taken as an upper bound for item Y. Hence a customer may interpret 20 as an upper bound when evaluated in ounces for drinks but as a lower bound when evaluated in gallons for water tanks.  The range of acceptable prices for a given product category determines the way in which the anchor value is used by the individual. Consumers adapt and distort these values to reflect a good enough anchor to base their judgments on. Though the relation between the incidental numbers and the price of the pro</w:t>
      </w:r>
      <w:r w:rsidR="00CB4369">
        <w:rPr>
          <w:rFonts w:eastAsia="Arial Unicode MS"/>
        </w:rPr>
        <w:t>duct is unknown by the consumer;</w:t>
      </w:r>
      <w:r>
        <w:rPr>
          <w:rFonts w:eastAsia="Arial Unicode MS"/>
        </w:rPr>
        <w:t xml:space="preserve"> when consumers’ WTP is asked, they use the readily available random numbers in their environment to make estimates. However, their use of such numbers is not straightforward. These anchors are malleable. Consumers unconsciously change these values to reflect possible acceptable prices for a given product category. Thus, we formally hypothesize that</w:t>
      </w:r>
    </w:p>
    <w:p w:rsidR="00683DBC" w:rsidRDefault="00683DBC" w:rsidP="001C49E8">
      <w:pPr>
        <w:pStyle w:val="svarticlesection"/>
        <w:shd w:val="clear" w:color="auto" w:fill="FFFFFF"/>
        <w:spacing w:before="0" w:beforeAutospacing="0" w:after="0" w:afterAutospacing="0"/>
        <w:ind w:firstLine="708"/>
        <w:jc w:val="both"/>
        <w:textAlignment w:val="baseline"/>
        <w:rPr>
          <w:rFonts w:eastAsia="Arial Unicode MS"/>
        </w:rPr>
      </w:pPr>
      <w:r>
        <w:rPr>
          <w:rFonts w:eastAsia="Arial Unicode MS"/>
        </w:rPr>
        <w:t>H1: When acceptable prices for an expensive product are used as anchors, a lower value serves as a lower (an upper) bound for an expensive (a less expensive) product. A higher value serves as an upper (a lower) bound for an expensive (a less expensive) product.</w:t>
      </w:r>
    </w:p>
    <w:p w:rsidR="00683DBC" w:rsidRDefault="00683DBC" w:rsidP="001C49E8">
      <w:pPr>
        <w:pStyle w:val="svarticlesection"/>
        <w:shd w:val="clear" w:color="auto" w:fill="FFFFFF"/>
        <w:spacing w:before="0" w:beforeAutospacing="0" w:after="0" w:afterAutospacing="0"/>
        <w:ind w:firstLine="708"/>
        <w:jc w:val="both"/>
        <w:textAlignment w:val="baseline"/>
        <w:rPr>
          <w:rFonts w:eastAsia="Arial Unicode MS"/>
        </w:rPr>
      </w:pPr>
      <w:r>
        <w:rPr>
          <w:rFonts w:eastAsia="Arial Unicode MS"/>
        </w:rPr>
        <w:t>H2: When acceptable prices for a less expensive product are used as anchors, a lower value serves as an upper (a lower) bound for an expensive (a less expensive) product. A higher value serves as a lower (an upper) bound for an expensive (a less expensive) product.</w:t>
      </w:r>
    </w:p>
    <w:p w:rsidR="000164A0" w:rsidRDefault="000164A0" w:rsidP="000164A0">
      <w:pPr>
        <w:pStyle w:val="svarticlesection"/>
        <w:shd w:val="clear" w:color="auto" w:fill="FFFFFF"/>
        <w:spacing w:before="0" w:beforeAutospacing="0" w:after="0" w:afterAutospacing="0"/>
        <w:ind w:firstLine="708"/>
        <w:jc w:val="center"/>
        <w:textAlignment w:val="baseline"/>
        <w:rPr>
          <w:rFonts w:eastAsia="Arial Unicode MS"/>
          <w:b/>
        </w:rPr>
      </w:pPr>
    </w:p>
    <w:p w:rsidR="00683DBC" w:rsidRPr="000164A0" w:rsidRDefault="000164A0" w:rsidP="000164A0">
      <w:pPr>
        <w:pStyle w:val="svarticlesection"/>
        <w:shd w:val="clear" w:color="auto" w:fill="FFFFFF"/>
        <w:spacing w:before="0" w:beforeAutospacing="0" w:after="0" w:afterAutospacing="0"/>
        <w:ind w:firstLine="708"/>
        <w:jc w:val="center"/>
        <w:textAlignment w:val="baseline"/>
        <w:rPr>
          <w:rFonts w:eastAsia="Arial Unicode MS"/>
          <w:b/>
        </w:rPr>
      </w:pPr>
      <w:r>
        <w:rPr>
          <w:rFonts w:eastAsia="Arial Unicode MS"/>
          <w:b/>
        </w:rPr>
        <w:t>METHOD</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Study 1a and b</w:t>
      </w:r>
    </w:p>
    <w:p w:rsidR="00683DBC" w:rsidRPr="003123F1" w:rsidRDefault="00683DBC" w:rsidP="001C49E8">
      <w:pPr>
        <w:pStyle w:val="svarticlesection"/>
        <w:shd w:val="clear" w:color="auto" w:fill="FFFFFF"/>
        <w:spacing w:before="0" w:beforeAutospacing="0" w:after="0" w:afterAutospacing="0"/>
        <w:ind w:firstLine="708"/>
        <w:jc w:val="both"/>
        <w:textAlignment w:val="baseline"/>
        <w:rPr>
          <w:rFonts w:eastAsia="Arial Unicode MS"/>
        </w:rPr>
      </w:pPr>
      <w:r>
        <w:rPr>
          <w:shd w:val="clear" w:color="auto" w:fill="FFFFFF"/>
        </w:rPr>
        <w:t xml:space="preserve">Study 1 a and b test H1 and H2, respectively. H1 and H2 suggest that consumers’ WTP </w:t>
      </w:r>
      <w:r w:rsidR="003123F1">
        <w:rPr>
          <w:shd w:val="clear" w:color="auto" w:fill="FFFFFF"/>
        </w:rPr>
        <w:t>is</w:t>
      </w:r>
      <w:r>
        <w:rPr>
          <w:shd w:val="clear" w:color="auto" w:fill="FFFFFF"/>
        </w:rPr>
        <w:t xml:space="preserve"> affected by incidental numbers. Moreover, they interpret such values to resemble acceptable prices for different product categories. </w:t>
      </w:r>
      <w:r w:rsidRPr="00872891">
        <w:rPr>
          <w:shd w:val="clear" w:color="auto" w:fill="FFFFFF"/>
        </w:rPr>
        <w:t xml:space="preserve">Past research has argued that the mere presence of a number is </w:t>
      </w:r>
      <w:r w:rsidRPr="00872891">
        <w:rPr>
          <w:rStyle w:val="Emphasis"/>
          <w:rFonts w:eastAsia="Arial Unicode MS"/>
          <w:i w:val="0"/>
          <w:bdr w:val="none" w:sz="0" w:space="0" w:color="auto" w:frame="1"/>
          <w:shd w:val="clear" w:color="auto" w:fill="FFFFFF"/>
        </w:rPr>
        <w:t>not</w:t>
      </w:r>
      <w:r w:rsidRPr="00872891">
        <w:rPr>
          <w:rStyle w:val="apple-converted-space"/>
          <w:rFonts w:eastAsia="Arial Unicode MS"/>
          <w:i/>
          <w:shd w:val="clear" w:color="auto" w:fill="FFFFFF"/>
        </w:rPr>
        <w:t> </w:t>
      </w:r>
      <w:r w:rsidRPr="00872891">
        <w:rPr>
          <w:shd w:val="clear" w:color="auto" w:fill="FFFFFF"/>
        </w:rPr>
        <w:t>sufficient to result in anchoring effects (</w:t>
      </w:r>
      <w:r w:rsidRPr="00872891">
        <w:rPr>
          <w:rStyle w:val="apple-converted-space"/>
          <w:rFonts w:eastAsia="Arial Unicode MS"/>
          <w:shd w:val="clear" w:color="auto" w:fill="FFFFFF"/>
        </w:rPr>
        <w:t> </w:t>
      </w:r>
      <w:r w:rsidRPr="00872891">
        <w:rPr>
          <w:shd w:val="clear" w:color="auto" w:fill="FFFFFF"/>
        </w:rPr>
        <w:t xml:space="preserve">Mussweiler and Strack 2001 ), especially for items with strong internal reference points </w:t>
      </w:r>
      <w:r w:rsidR="00D4118B">
        <w:rPr>
          <w:shd w:val="clear" w:color="auto" w:fill="FFFFFF"/>
        </w:rPr>
        <w:t>(IRP) (Dogerlioglu-Demir and Koçaş</w:t>
      </w:r>
      <w:r w:rsidRPr="00872891">
        <w:rPr>
          <w:shd w:val="clear" w:color="auto" w:fill="FFFFFF"/>
        </w:rPr>
        <w:t xml:space="preserve"> </w:t>
      </w:r>
      <w:r w:rsidR="007F0517">
        <w:rPr>
          <w:shd w:val="clear" w:color="auto" w:fill="FFFFFF"/>
        </w:rPr>
        <w:t>forthcoming</w:t>
      </w:r>
      <w:r w:rsidR="00D4118B">
        <w:rPr>
          <w:shd w:val="clear" w:color="auto" w:fill="FFFFFF"/>
        </w:rPr>
        <w:t>).  Dogerlioglu-Demir and Koçaş</w:t>
      </w:r>
      <w:r w:rsidRPr="00872891">
        <w:rPr>
          <w:shd w:val="clear" w:color="auto" w:fill="FFFFFF"/>
        </w:rPr>
        <w:t xml:space="preserve"> (</w:t>
      </w:r>
      <w:r w:rsidR="007F0517">
        <w:rPr>
          <w:shd w:val="clear" w:color="auto" w:fill="FFFFFF"/>
        </w:rPr>
        <w:t>forthcoming</w:t>
      </w:r>
      <w:r w:rsidRPr="00872891">
        <w:rPr>
          <w:shd w:val="clear" w:color="auto" w:fill="FFFFFF"/>
        </w:rPr>
        <w:t xml:space="preserve">) begin the investigation by demonstrating that consumers’ WTP is affected by totally random numbers in the environment for weak IRP items. However, they note that numbers should be part of identity </w:t>
      </w:r>
      <w:r>
        <w:rPr>
          <w:shd w:val="clear" w:color="auto" w:fill="FFFFFF"/>
        </w:rPr>
        <w:t xml:space="preserve">(e.g., product name) </w:t>
      </w:r>
      <w:r w:rsidRPr="00872891">
        <w:rPr>
          <w:shd w:val="clear" w:color="auto" w:fill="FFFFFF"/>
        </w:rPr>
        <w:t xml:space="preserve">for IEA to work for products with stronger IRPs. Higher frequency and recency of purchases result in more focused, stronger IRPs (Mazumdar et al. 2005). Thus, it is more difficult to </w:t>
      </w:r>
      <w:r>
        <w:rPr>
          <w:shd w:val="clear" w:color="auto" w:fill="FFFFFF"/>
        </w:rPr>
        <w:t>manage</w:t>
      </w:r>
      <w:r w:rsidRPr="00872891">
        <w:rPr>
          <w:shd w:val="clear" w:color="auto" w:fill="FFFFFF"/>
        </w:rPr>
        <w:t xml:space="preserve"> consumers’ price expectations by </w:t>
      </w:r>
      <w:r>
        <w:rPr>
          <w:shd w:val="clear" w:color="auto" w:fill="FFFFFF"/>
        </w:rPr>
        <w:t>un</w:t>
      </w:r>
      <w:r w:rsidRPr="00872891">
        <w:rPr>
          <w:shd w:val="clear" w:color="auto" w:fill="FFFFFF"/>
        </w:rPr>
        <w:t xml:space="preserve">obvious numerical cues in the environment.  Dogerlioglu-Demir and </w:t>
      </w:r>
      <w:r w:rsidR="00D4118B">
        <w:rPr>
          <w:shd w:val="clear" w:color="auto" w:fill="FFFFFF"/>
        </w:rPr>
        <w:t>Koçaş</w:t>
      </w:r>
      <w:r w:rsidRPr="00872891">
        <w:rPr>
          <w:shd w:val="clear" w:color="auto" w:fill="FFFFFF"/>
        </w:rPr>
        <w:t xml:space="preserve"> (</w:t>
      </w:r>
      <w:r w:rsidR="007F0517">
        <w:rPr>
          <w:shd w:val="clear" w:color="auto" w:fill="FFFFFF"/>
        </w:rPr>
        <w:t>forthcoming</w:t>
      </w:r>
      <w:r w:rsidRPr="00872891">
        <w:rPr>
          <w:shd w:val="clear" w:color="auto" w:fill="FFFFFF"/>
        </w:rPr>
        <w:t xml:space="preserve">) demonstrate that for a product with a strong IRP (e.g., a hamburger meal), the IEA effect is weaker than for a product with a weak IRP (e.g., an average meal at a restaurant). </w:t>
      </w:r>
      <w:r>
        <w:rPr>
          <w:shd w:val="clear" w:color="auto" w:fill="FFFFFF"/>
        </w:rPr>
        <w:t>When two separate numbers are used as anchors,</w:t>
      </w:r>
      <w:r w:rsidRPr="00872891">
        <w:rPr>
          <w:shd w:val="clear" w:color="auto" w:fill="FFFFFF"/>
        </w:rPr>
        <w:t xml:space="preserve"> </w:t>
      </w:r>
      <w:r>
        <w:rPr>
          <w:shd w:val="clear" w:color="auto" w:fill="FFFFFF"/>
        </w:rPr>
        <w:t>w</w:t>
      </w:r>
      <w:r w:rsidRPr="00872891">
        <w:rPr>
          <w:shd w:val="clear" w:color="auto" w:fill="FFFFFF"/>
        </w:rPr>
        <w:t xml:space="preserve">hile there is a significant difference in WTP for an average meal, there is no difference in WTP across conditions for a hamburger. </w:t>
      </w:r>
      <w:r w:rsidRPr="00872891">
        <w:t xml:space="preserve">The authors argue and show that numbers used as part of the product identity enhance IEA effectiveness </w:t>
      </w:r>
      <w:r>
        <w:t xml:space="preserve">for products </w:t>
      </w:r>
      <w:r w:rsidRPr="003123F1">
        <w:t>with strong IRPs.</w:t>
      </w:r>
      <w:r w:rsidRPr="003123F1">
        <w:rPr>
          <w:shd w:val="clear" w:color="auto" w:fill="FFFFFF"/>
        </w:rPr>
        <w:t xml:space="preserve"> </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 xml:space="preserve"> In study 1 a and b, we utilized numbers 17 and 97 as anchor values. These numbers were used in Critcher and Gilovich (2008) to represent appropriate values for an average meal at an </w:t>
      </w:r>
      <w:r w:rsidRPr="003123F1">
        <w:rPr>
          <w:rFonts w:ascii="Times New Roman" w:hAnsi="Times New Roman"/>
          <w:sz w:val="24"/>
          <w:szCs w:val="24"/>
          <w:shd w:val="clear" w:color="auto" w:fill="FFFFFF"/>
          <w:lang w:val="en-US"/>
        </w:rPr>
        <w:lastRenderedPageBreak/>
        <w:t xml:space="preserve">expensive restaurant. Therefore, we expect that while 17 will pull the WTP down and 97 will pull WTP up for the meal, 17 will pull the WTP up and 97 will pull WTP down for the burger. </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Study 1a</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Method</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 xml:space="preserve">Drawing 59 participants from Amazon Mturk, we had half of the respondents report their WTP for an average meal at an expensive restaurant named Studio 17 and had the other half state their WTP for an average meal at Studio 97 (“How much would you be willing to pay for your own meal at this restaurant”). </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Results and discussion</w:t>
      </w:r>
    </w:p>
    <w:p w:rsidR="00683DBC" w:rsidRPr="003123F1"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3123F1">
        <w:rPr>
          <w:rFonts w:ascii="Times New Roman" w:hAnsi="Times New Roman"/>
          <w:sz w:val="24"/>
          <w:szCs w:val="24"/>
          <w:shd w:val="clear" w:color="auto" w:fill="FFFFFF"/>
          <w:lang w:val="en-US"/>
        </w:rPr>
        <w:t>As hypothesized, we found a significant difference in WTP for an average meal at Studio 17 versus Studio 97 (</w:t>
      </w:r>
      <w:r w:rsidRPr="003123F1">
        <w:rPr>
          <w:rFonts w:ascii="Times New Roman" w:hAnsi="Times New Roman"/>
          <w:i/>
          <w:sz w:val="24"/>
          <w:szCs w:val="24"/>
          <w:shd w:val="clear" w:color="auto" w:fill="FFFFFF"/>
          <w:lang w:val="en-US"/>
        </w:rPr>
        <w:t>M</w:t>
      </w:r>
      <w:r w:rsidRPr="003123F1">
        <w:rPr>
          <w:rFonts w:ascii="Times New Roman" w:hAnsi="Times New Roman"/>
          <w:i/>
          <w:sz w:val="24"/>
          <w:szCs w:val="24"/>
          <w:shd w:val="clear" w:color="auto" w:fill="FFFFFF"/>
          <w:vertAlign w:val="subscript"/>
          <w:lang w:val="en-US"/>
        </w:rPr>
        <w:t>Studio17_meal</w:t>
      </w:r>
      <w:r w:rsidRPr="003123F1">
        <w:rPr>
          <w:rFonts w:ascii="Times New Roman" w:hAnsi="Times New Roman"/>
          <w:sz w:val="24"/>
          <w:szCs w:val="24"/>
          <w:shd w:val="clear" w:color="auto" w:fill="FFFFFF"/>
          <w:lang w:val="en-US"/>
        </w:rPr>
        <w:t xml:space="preserve"> = 24.17, SD</w:t>
      </w:r>
      <w:r w:rsidRPr="003123F1">
        <w:rPr>
          <w:rFonts w:ascii="Times New Roman" w:hAnsi="Times New Roman"/>
          <w:i/>
          <w:sz w:val="24"/>
          <w:szCs w:val="24"/>
          <w:shd w:val="clear" w:color="auto" w:fill="FFFFFF"/>
          <w:lang w:val="en-US"/>
        </w:rPr>
        <w:t xml:space="preserve"> </w:t>
      </w:r>
      <w:r w:rsidRPr="003123F1">
        <w:rPr>
          <w:rFonts w:ascii="Times New Roman" w:hAnsi="Times New Roman"/>
          <w:sz w:val="24"/>
          <w:szCs w:val="24"/>
          <w:shd w:val="clear" w:color="auto" w:fill="FFFFFF"/>
          <w:lang w:val="en-US"/>
        </w:rPr>
        <w:t xml:space="preserve">= 10.32; </w:t>
      </w:r>
      <w:r w:rsidRPr="003123F1">
        <w:rPr>
          <w:rFonts w:ascii="Times New Roman" w:hAnsi="Times New Roman"/>
          <w:i/>
          <w:sz w:val="24"/>
          <w:szCs w:val="24"/>
          <w:shd w:val="clear" w:color="auto" w:fill="FFFFFF"/>
          <w:lang w:val="en-US"/>
        </w:rPr>
        <w:t>M</w:t>
      </w:r>
      <w:r w:rsidRPr="003123F1">
        <w:rPr>
          <w:rFonts w:ascii="Times New Roman" w:hAnsi="Times New Roman"/>
          <w:i/>
          <w:sz w:val="24"/>
          <w:szCs w:val="24"/>
          <w:shd w:val="clear" w:color="auto" w:fill="FFFFFF"/>
          <w:vertAlign w:val="subscript"/>
          <w:lang w:val="en-US"/>
        </w:rPr>
        <w:t>Studio97_meal</w:t>
      </w:r>
      <w:r w:rsidRPr="003123F1">
        <w:rPr>
          <w:rFonts w:ascii="Times New Roman" w:hAnsi="Times New Roman"/>
          <w:sz w:val="24"/>
          <w:szCs w:val="24"/>
          <w:shd w:val="clear" w:color="auto" w:fill="FFFFFF"/>
          <w:lang w:val="en-US"/>
        </w:rPr>
        <w:t xml:space="preserve"> = 33.43, SD</w:t>
      </w:r>
      <w:r w:rsidRPr="003123F1">
        <w:rPr>
          <w:rFonts w:ascii="Times New Roman" w:hAnsi="Times New Roman"/>
          <w:i/>
          <w:sz w:val="24"/>
          <w:szCs w:val="24"/>
          <w:shd w:val="clear" w:color="auto" w:fill="FFFFFF"/>
          <w:lang w:val="en-US"/>
        </w:rPr>
        <w:t xml:space="preserve"> </w:t>
      </w:r>
      <w:r w:rsidRPr="003123F1">
        <w:rPr>
          <w:rFonts w:ascii="Times New Roman" w:hAnsi="Times New Roman"/>
          <w:sz w:val="24"/>
          <w:szCs w:val="24"/>
          <w:shd w:val="clear" w:color="auto" w:fill="FFFFFF"/>
          <w:lang w:val="en-US"/>
        </w:rPr>
        <w:t xml:space="preserve">= 21.94; </w:t>
      </w:r>
      <w:r w:rsidRPr="003123F1">
        <w:rPr>
          <w:rFonts w:ascii="Times New Roman" w:hAnsi="Times New Roman"/>
          <w:i/>
          <w:sz w:val="24"/>
          <w:szCs w:val="24"/>
          <w:shd w:val="clear" w:color="auto" w:fill="FFFFFF"/>
          <w:lang w:val="en-US"/>
        </w:rPr>
        <w:t>t</w:t>
      </w:r>
      <w:r w:rsidRPr="003123F1">
        <w:rPr>
          <w:rFonts w:ascii="Times New Roman" w:hAnsi="Times New Roman"/>
          <w:sz w:val="24"/>
          <w:szCs w:val="24"/>
          <w:shd w:val="clear" w:color="auto" w:fill="FFFFFF"/>
          <w:lang w:val="en-US"/>
        </w:rPr>
        <w:t xml:space="preserve">(57) = –.26, </w:t>
      </w:r>
      <w:r w:rsidRPr="003123F1">
        <w:rPr>
          <w:rFonts w:ascii="Times New Roman" w:hAnsi="Times New Roman"/>
          <w:i/>
          <w:sz w:val="24"/>
          <w:szCs w:val="24"/>
          <w:shd w:val="clear" w:color="auto" w:fill="FFFFFF"/>
          <w:lang w:val="en-US"/>
        </w:rPr>
        <w:t xml:space="preserve">p </w:t>
      </w:r>
      <w:r w:rsidRPr="003123F1">
        <w:rPr>
          <w:rFonts w:ascii="Times New Roman" w:hAnsi="Times New Roman"/>
          <w:sz w:val="24"/>
          <w:szCs w:val="24"/>
          <w:shd w:val="clear" w:color="auto" w:fill="FFFFFF"/>
          <w:lang w:val="en-US"/>
        </w:rPr>
        <w:t xml:space="preserve">&lt; 0.01).  </w:t>
      </w:r>
      <w:r w:rsidR="003123F1">
        <w:rPr>
          <w:rFonts w:ascii="Times New Roman" w:hAnsi="Times New Roman"/>
          <w:sz w:val="24"/>
          <w:szCs w:val="24"/>
          <w:shd w:val="clear" w:color="auto" w:fill="FFFFFF"/>
          <w:lang w:val="en-US"/>
        </w:rPr>
        <w:t xml:space="preserve">When individuals see a restaurant named ‘Studio 17’, their expectations of price for an average meal is significantly lower than when they see a restaurant name ‘Studio 97’. Though the numbers are utilized as part of the restaurant </w:t>
      </w:r>
      <w:r w:rsidR="00A44116">
        <w:rPr>
          <w:rFonts w:ascii="Times New Roman" w:hAnsi="Times New Roman"/>
          <w:sz w:val="24"/>
          <w:szCs w:val="24"/>
          <w:shd w:val="clear" w:color="auto" w:fill="FFFFFF"/>
          <w:lang w:val="en-US"/>
        </w:rPr>
        <w:t>name and there is</w:t>
      </w:r>
      <w:r w:rsidR="003123F1">
        <w:rPr>
          <w:rFonts w:ascii="Times New Roman" w:hAnsi="Times New Roman"/>
          <w:sz w:val="24"/>
          <w:szCs w:val="24"/>
          <w:shd w:val="clear" w:color="auto" w:fill="FFFFFF"/>
          <w:lang w:val="en-US"/>
        </w:rPr>
        <w:t xml:space="preserve"> no obvious price connection, </w:t>
      </w:r>
      <w:r w:rsidR="00A44116">
        <w:rPr>
          <w:rFonts w:ascii="Times New Roman" w:hAnsi="Times New Roman"/>
          <w:sz w:val="24"/>
          <w:szCs w:val="24"/>
          <w:shd w:val="clear" w:color="auto" w:fill="FFFFFF"/>
          <w:lang w:val="en-US"/>
        </w:rPr>
        <w:t>anchoring effect holds.</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Study 1b</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Method</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Since consumers’ WTP for a product with a strong IRP is affected by different anchor values only if the number is part of the product identity  (</w:t>
      </w:r>
      <w:r w:rsidRPr="00872891">
        <w:rPr>
          <w:rFonts w:ascii="Times New Roman" w:eastAsia="Arial Unicode MS" w:hAnsi="Times New Roman"/>
          <w:sz w:val="24"/>
          <w:szCs w:val="24"/>
          <w:shd w:val="clear" w:color="auto" w:fill="FFFFFF"/>
          <w:lang w:val="en-US"/>
        </w:rPr>
        <w:t xml:space="preserve">Dogerlioglu-Demir and </w:t>
      </w:r>
      <w:r w:rsidR="00D4118B">
        <w:rPr>
          <w:rFonts w:ascii="Times New Roman" w:eastAsia="Arial Unicode MS" w:hAnsi="Times New Roman"/>
          <w:sz w:val="24"/>
          <w:szCs w:val="24"/>
          <w:shd w:val="clear" w:color="auto" w:fill="FFFFFF"/>
          <w:lang w:val="en-US"/>
        </w:rPr>
        <w:t>Koçaş</w:t>
      </w:r>
      <w:r w:rsidRPr="00872891">
        <w:rPr>
          <w:rFonts w:ascii="Times New Roman" w:eastAsia="Arial Unicode MS" w:hAnsi="Times New Roman"/>
          <w:sz w:val="24"/>
          <w:szCs w:val="24"/>
          <w:shd w:val="clear" w:color="auto" w:fill="FFFFFF"/>
          <w:lang w:val="en-US"/>
        </w:rPr>
        <w:t xml:space="preserve"> </w:t>
      </w:r>
      <w:r w:rsidR="007F0517">
        <w:rPr>
          <w:rFonts w:ascii="Times New Roman" w:eastAsia="Arial Unicode MS" w:hAnsi="Times New Roman"/>
          <w:sz w:val="24"/>
          <w:szCs w:val="24"/>
          <w:shd w:val="clear" w:color="auto" w:fill="FFFFFF"/>
          <w:lang w:val="en-US"/>
        </w:rPr>
        <w:t>forthcoming</w:t>
      </w:r>
      <w:r w:rsidRPr="00872891">
        <w:rPr>
          <w:rFonts w:ascii="Times New Roman" w:eastAsia="Arial Unicode MS" w:hAnsi="Times New Roman"/>
          <w:sz w:val="24"/>
          <w:szCs w:val="24"/>
          <w:shd w:val="clear" w:color="auto" w:fill="FFFFFF"/>
          <w:lang w:val="en-US"/>
        </w:rPr>
        <w:t>)</w:t>
      </w:r>
      <w:r>
        <w:rPr>
          <w:rFonts w:ascii="Times New Roman" w:eastAsia="Arial Unicode MS" w:hAnsi="Times New Roman"/>
          <w:sz w:val="24"/>
          <w:szCs w:val="24"/>
          <w:shd w:val="clear" w:color="auto" w:fill="FFFFFF"/>
          <w:lang w:val="en-US"/>
        </w:rPr>
        <w:t xml:space="preserve">, we used numbers as part of the product </w:t>
      </w:r>
      <w:r w:rsidRPr="00872891">
        <w:rPr>
          <w:rFonts w:ascii="Times New Roman" w:eastAsia="Arial Unicode MS" w:hAnsi="Times New Roman"/>
          <w:sz w:val="24"/>
          <w:szCs w:val="24"/>
          <w:shd w:val="clear" w:color="auto" w:fill="FFFFFF"/>
          <w:lang w:val="en-US"/>
        </w:rPr>
        <w:t xml:space="preserve">name for the hamburger (the </w:t>
      </w:r>
      <w:r w:rsidRPr="00872891">
        <w:rPr>
          <w:rFonts w:ascii="Times New Roman" w:hAnsi="Times New Roman"/>
          <w:sz w:val="24"/>
          <w:szCs w:val="24"/>
          <w:shd w:val="clear" w:color="auto" w:fill="FFFFFF"/>
          <w:lang w:val="en-US"/>
        </w:rPr>
        <w:t>17 vs</w:t>
      </w:r>
      <w:r>
        <w:rPr>
          <w:rFonts w:ascii="Times New Roman" w:hAnsi="Times New Roman"/>
          <w:sz w:val="24"/>
          <w:szCs w:val="24"/>
          <w:shd w:val="clear" w:color="auto" w:fill="FFFFFF"/>
          <w:lang w:val="en-US"/>
        </w:rPr>
        <w:t>.</w:t>
      </w:r>
      <w:r w:rsidRPr="00872891">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the </w:t>
      </w:r>
      <w:r w:rsidRPr="00872891">
        <w:rPr>
          <w:rFonts w:ascii="Times New Roman" w:hAnsi="Times New Roman"/>
          <w:sz w:val="24"/>
          <w:szCs w:val="24"/>
          <w:shd w:val="clear" w:color="auto" w:fill="FFFFFF"/>
          <w:lang w:val="en-US"/>
        </w:rPr>
        <w:t>97 burger</w:t>
      </w:r>
      <w:r>
        <w:rPr>
          <w:rFonts w:ascii="Times New Roman" w:hAnsi="Times New Roman"/>
          <w:sz w:val="24"/>
          <w:szCs w:val="24"/>
          <w:shd w:val="clear" w:color="auto" w:fill="FFFFFF"/>
          <w:lang w:val="en-US"/>
        </w:rPr>
        <w:t xml:space="preserve">). We </w:t>
      </w:r>
      <w:r w:rsidRPr="00130830">
        <w:rPr>
          <w:rFonts w:ascii="Times New Roman" w:hAnsi="Times New Roman"/>
          <w:sz w:val="24"/>
          <w:szCs w:val="24"/>
          <w:shd w:val="clear" w:color="auto" w:fill="FFFFFF"/>
          <w:lang w:val="en-US"/>
        </w:rPr>
        <w:t>used 2 conditions (</w:t>
      </w:r>
      <w:r>
        <w:rPr>
          <w:rFonts w:ascii="Times New Roman" w:hAnsi="Times New Roman"/>
          <w:sz w:val="24"/>
          <w:szCs w:val="24"/>
          <w:shd w:val="clear" w:color="auto" w:fill="FFFFFF"/>
          <w:lang w:val="en-US"/>
        </w:rPr>
        <w:t>17 vs. 97</w:t>
      </w:r>
      <w:r w:rsidRPr="00130830">
        <w:rPr>
          <w:rFonts w:ascii="Times New Roman" w:hAnsi="Times New Roman"/>
          <w:sz w:val="24"/>
          <w:szCs w:val="24"/>
          <w:shd w:val="clear" w:color="auto" w:fill="FFFFFF"/>
          <w:lang w:val="en-US"/>
        </w:rPr>
        <w:t xml:space="preserve">) to test the effect of different anchors in the product names on consumers’ WTP for a product </w:t>
      </w:r>
      <w:r>
        <w:rPr>
          <w:rFonts w:ascii="Times New Roman" w:hAnsi="Times New Roman"/>
          <w:sz w:val="24"/>
          <w:szCs w:val="24"/>
          <w:shd w:val="clear" w:color="auto" w:fill="FFFFFF"/>
          <w:lang w:val="en-US"/>
        </w:rPr>
        <w:t xml:space="preserve">with </w:t>
      </w:r>
      <w:r w:rsidRPr="00130830">
        <w:rPr>
          <w:rFonts w:ascii="Times New Roman" w:hAnsi="Times New Roman"/>
          <w:sz w:val="24"/>
          <w:szCs w:val="24"/>
          <w:shd w:val="clear" w:color="auto" w:fill="FFFFFF"/>
          <w:lang w:val="en-US"/>
        </w:rPr>
        <w:t xml:space="preserve">a strong IRP. </w:t>
      </w:r>
      <w:r>
        <w:rPr>
          <w:rFonts w:ascii="Times New Roman" w:hAnsi="Times New Roman"/>
          <w:sz w:val="24"/>
          <w:szCs w:val="24"/>
          <w:shd w:val="clear" w:color="auto" w:fill="FFFFFF"/>
          <w:lang w:val="en-US"/>
        </w:rPr>
        <w:t xml:space="preserve">We recruited 80 </w:t>
      </w:r>
      <w:r w:rsidRPr="00130830">
        <w:rPr>
          <w:rFonts w:ascii="Times New Roman" w:hAnsi="Times New Roman"/>
          <w:sz w:val="24"/>
          <w:szCs w:val="24"/>
          <w:shd w:val="clear" w:color="auto" w:fill="FFFFFF"/>
          <w:lang w:val="en-US"/>
        </w:rPr>
        <w:t>participants from the U</w:t>
      </w:r>
      <w:r>
        <w:rPr>
          <w:rFonts w:ascii="Times New Roman" w:hAnsi="Times New Roman"/>
          <w:sz w:val="24"/>
          <w:szCs w:val="24"/>
          <w:shd w:val="clear" w:color="auto" w:fill="FFFFFF"/>
          <w:lang w:val="en-US"/>
        </w:rPr>
        <w:t xml:space="preserve">nited </w:t>
      </w:r>
      <w:r w:rsidRPr="00130830">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en-US"/>
        </w:rPr>
        <w:t>tates</w:t>
      </w:r>
      <w:r w:rsidRPr="00130830">
        <w:rPr>
          <w:rFonts w:ascii="Times New Roman" w:hAnsi="Times New Roman"/>
          <w:sz w:val="24"/>
          <w:szCs w:val="24"/>
          <w:shd w:val="clear" w:color="auto" w:fill="FFFFFF"/>
          <w:lang w:val="en-US"/>
        </w:rPr>
        <w:t xml:space="preserve"> using Amazon MTurk. This time, we used a hamburger meal ad and a slogan that read </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Introducing the </w:t>
      </w:r>
      <w:r>
        <w:rPr>
          <w:rFonts w:ascii="Times New Roman" w:hAnsi="Times New Roman"/>
          <w:sz w:val="24"/>
          <w:szCs w:val="24"/>
          <w:shd w:val="clear" w:color="auto" w:fill="FFFFFF"/>
          <w:lang w:val="en-US"/>
        </w:rPr>
        <w:t>17 (97</w:t>
      </w:r>
      <w:r w:rsidRPr="00130830">
        <w:rPr>
          <w:rFonts w:ascii="Times New Roman" w:hAnsi="Times New Roman"/>
          <w:sz w:val="24"/>
          <w:szCs w:val="24"/>
          <w:shd w:val="clear" w:color="auto" w:fill="FFFFFF"/>
          <w:lang w:val="en-US"/>
        </w:rPr>
        <w:t>) burger.</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 We specifically mentioned that </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we used a random character generator to come up with such a name</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 to ensure </w:t>
      </w:r>
      <w:r>
        <w:rPr>
          <w:rFonts w:ascii="Times New Roman" w:hAnsi="Times New Roman"/>
          <w:sz w:val="24"/>
          <w:szCs w:val="24"/>
          <w:shd w:val="clear" w:color="auto" w:fill="FFFFFF"/>
          <w:lang w:val="en-US"/>
        </w:rPr>
        <w:t xml:space="preserve">that </w:t>
      </w:r>
      <w:r w:rsidRPr="00130830">
        <w:rPr>
          <w:rFonts w:ascii="Times New Roman" w:hAnsi="Times New Roman"/>
          <w:sz w:val="24"/>
          <w:szCs w:val="24"/>
          <w:shd w:val="clear" w:color="auto" w:fill="FFFFFF"/>
          <w:lang w:val="en-US"/>
        </w:rPr>
        <w:t>participants perceive</w:t>
      </w:r>
      <w:r>
        <w:rPr>
          <w:rFonts w:ascii="Times New Roman" w:hAnsi="Times New Roman"/>
          <w:sz w:val="24"/>
          <w:szCs w:val="24"/>
          <w:shd w:val="clear" w:color="auto" w:fill="FFFFFF"/>
          <w:lang w:val="en-US"/>
        </w:rPr>
        <w:t>d</w:t>
      </w:r>
      <w:r w:rsidRPr="00130830">
        <w:rPr>
          <w:rFonts w:ascii="Times New Roman" w:hAnsi="Times New Roman"/>
          <w:sz w:val="24"/>
          <w:szCs w:val="24"/>
          <w:shd w:val="clear" w:color="auto" w:fill="FFFFFF"/>
          <w:lang w:val="en-US"/>
        </w:rPr>
        <w:t xml:space="preserve"> the numbers as product names</w:t>
      </w:r>
      <w:r>
        <w:rPr>
          <w:rFonts w:ascii="Times New Roman" w:hAnsi="Times New Roman"/>
          <w:sz w:val="24"/>
          <w:szCs w:val="24"/>
          <w:shd w:val="clear" w:color="auto" w:fill="FFFFFF"/>
          <w:lang w:val="en-US"/>
        </w:rPr>
        <w:t>, not prices.</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Results and discussion</w:t>
      </w:r>
    </w:p>
    <w:p w:rsidR="00683DBC" w:rsidRDefault="00683DBC" w:rsidP="001C49E8">
      <w:pPr>
        <w:autoSpaceDE w:val="0"/>
        <w:autoSpaceDN w:val="0"/>
        <w:adjustRightInd w:val="0"/>
        <w:spacing w:after="0" w:line="240" w:lineRule="auto"/>
        <w:rPr>
          <w:rFonts w:ascii="Times New Roman" w:hAnsi="Times New Roman"/>
          <w:sz w:val="24"/>
          <w:szCs w:val="24"/>
          <w:shd w:val="clear" w:color="auto" w:fill="FFFFFF"/>
          <w:lang w:val="en-US"/>
        </w:rPr>
      </w:pPr>
      <w:r w:rsidRPr="00CE5975">
        <w:rPr>
          <w:rFonts w:ascii="Times New Roman" w:hAnsi="Times New Roman"/>
          <w:sz w:val="24"/>
          <w:szCs w:val="24"/>
          <w:shd w:val="clear" w:color="auto" w:fill="FFFFFF"/>
          <w:lang w:val="en-US"/>
        </w:rPr>
        <w:t>We found a significant difference in WTP for the 17 burger versus the 97 burger (</w:t>
      </w:r>
      <w:r w:rsidRPr="00CE5975">
        <w:rPr>
          <w:rFonts w:ascii="Times New Roman" w:hAnsi="Times New Roman"/>
          <w:i/>
          <w:sz w:val="24"/>
          <w:szCs w:val="24"/>
          <w:shd w:val="clear" w:color="auto" w:fill="FFFFFF"/>
          <w:lang w:val="en-US"/>
        </w:rPr>
        <w:t>M</w:t>
      </w:r>
      <w:r w:rsidRPr="00CE5975">
        <w:rPr>
          <w:rFonts w:ascii="Times New Roman" w:hAnsi="Times New Roman"/>
          <w:i/>
          <w:sz w:val="24"/>
          <w:szCs w:val="24"/>
          <w:shd w:val="clear" w:color="auto" w:fill="FFFFFF"/>
          <w:vertAlign w:val="subscript"/>
          <w:lang w:val="en-US"/>
        </w:rPr>
        <w:t xml:space="preserve">17burger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8.40</w:t>
      </w:r>
      <w:r w:rsidRPr="00CE5975">
        <w:rPr>
          <w:rFonts w:ascii="Times New Roman" w:hAnsi="Times New Roman"/>
          <w:sz w:val="24"/>
          <w:szCs w:val="24"/>
          <w:shd w:val="clear" w:color="auto" w:fill="FFFFFF"/>
          <w:lang w:val="en-US"/>
        </w:rPr>
        <w:t>, SD</w:t>
      </w:r>
      <w:r w:rsidRPr="00CE5975">
        <w:rPr>
          <w:rFonts w:ascii="Times New Roman" w:hAnsi="Times New Roman"/>
          <w:i/>
          <w:sz w:val="24"/>
          <w:szCs w:val="24"/>
          <w:shd w:val="clear" w:color="auto" w:fill="FFFFFF"/>
          <w:lang w:val="en-US"/>
        </w:rPr>
        <w:t xml:space="preserve">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3.62</w:t>
      </w:r>
      <w:r w:rsidRPr="00CE5975">
        <w:rPr>
          <w:rFonts w:ascii="Times New Roman" w:hAnsi="Times New Roman"/>
          <w:sz w:val="24"/>
          <w:szCs w:val="24"/>
          <w:shd w:val="clear" w:color="auto" w:fill="FFFFFF"/>
          <w:lang w:val="en-US"/>
        </w:rPr>
        <w:t xml:space="preserve">; </w:t>
      </w:r>
      <w:r w:rsidRPr="00CE5975">
        <w:rPr>
          <w:rFonts w:ascii="Times New Roman" w:hAnsi="Times New Roman"/>
          <w:i/>
          <w:sz w:val="24"/>
          <w:szCs w:val="24"/>
          <w:shd w:val="clear" w:color="auto" w:fill="FFFFFF"/>
          <w:lang w:val="en-US"/>
        </w:rPr>
        <w:t>M</w:t>
      </w:r>
      <w:r w:rsidRPr="00CE5975">
        <w:rPr>
          <w:rFonts w:ascii="Times New Roman" w:hAnsi="Times New Roman"/>
          <w:i/>
          <w:sz w:val="24"/>
          <w:szCs w:val="24"/>
          <w:shd w:val="clear" w:color="auto" w:fill="FFFFFF"/>
          <w:vertAlign w:val="subscript"/>
          <w:lang w:val="en-US"/>
        </w:rPr>
        <w:t xml:space="preserve">97burger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6.24</w:t>
      </w:r>
      <w:r w:rsidRPr="00CE5975">
        <w:rPr>
          <w:rFonts w:ascii="Times New Roman" w:hAnsi="Times New Roman"/>
          <w:sz w:val="24"/>
          <w:szCs w:val="24"/>
          <w:shd w:val="clear" w:color="auto" w:fill="FFFFFF"/>
          <w:lang w:val="en-US"/>
        </w:rPr>
        <w:t>, SD</w:t>
      </w:r>
      <w:r w:rsidRPr="00CE5975">
        <w:rPr>
          <w:rFonts w:ascii="Times New Roman" w:hAnsi="Times New Roman"/>
          <w:i/>
          <w:sz w:val="24"/>
          <w:szCs w:val="24"/>
          <w:shd w:val="clear" w:color="auto" w:fill="FFFFFF"/>
          <w:lang w:val="en-US"/>
        </w:rPr>
        <w:t xml:space="preserve">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3.78</w:t>
      </w:r>
      <w:r w:rsidRPr="00CE5975">
        <w:rPr>
          <w:rFonts w:ascii="Times New Roman" w:hAnsi="Times New Roman"/>
          <w:sz w:val="24"/>
          <w:szCs w:val="24"/>
          <w:shd w:val="clear" w:color="auto" w:fill="FFFFFF"/>
          <w:lang w:val="en-US"/>
        </w:rPr>
        <w:t>;</w:t>
      </w:r>
      <w:r w:rsidRPr="00CE5975">
        <w:rPr>
          <w:rFonts w:ascii="Times New Roman" w:hAnsi="Times New Roman"/>
          <w:i/>
          <w:sz w:val="24"/>
          <w:szCs w:val="24"/>
          <w:shd w:val="clear" w:color="auto" w:fill="FFFFFF"/>
          <w:lang w:val="en-US"/>
        </w:rPr>
        <w:t xml:space="preserve"> t</w:t>
      </w:r>
      <w:r w:rsidRPr="00CE597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78</w:t>
      </w:r>
      <w:r w:rsidRPr="00CE5975">
        <w:rPr>
          <w:rFonts w:ascii="Times New Roman" w:hAnsi="Times New Roman"/>
          <w:sz w:val="24"/>
          <w:szCs w:val="24"/>
          <w:shd w:val="clear" w:color="auto" w:fill="FFFFFF"/>
          <w:lang w:val="en-US"/>
        </w:rPr>
        <w:t xml:space="preserve">) = </w:t>
      </w:r>
      <w:r>
        <w:rPr>
          <w:rFonts w:ascii="Times New Roman" w:hAnsi="Times New Roman"/>
          <w:sz w:val="24"/>
          <w:szCs w:val="24"/>
          <w:shd w:val="clear" w:color="auto" w:fill="FFFFFF"/>
          <w:lang w:val="en-US"/>
        </w:rPr>
        <w:t>2.59</w:t>
      </w:r>
      <w:r w:rsidRPr="00CE5975">
        <w:rPr>
          <w:rFonts w:ascii="Times New Roman" w:hAnsi="Times New Roman"/>
          <w:sz w:val="24"/>
          <w:szCs w:val="24"/>
          <w:shd w:val="clear" w:color="auto" w:fill="FFFFFF"/>
          <w:lang w:val="en-US"/>
        </w:rPr>
        <w:t xml:space="preserve">, </w:t>
      </w:r>
      <w:r w:rsidRPr="00CE5975">
        <w:rPr>
          <w:rFonts w:ascii="Times New Roman" w:hAnsi="Times New Roman"/>
          <w:i/>
          <w:sz w:val="24"/>
          <w:szCs w:val="24"/>
          <w:shd w:val="clear" w:color="auto" w:fill="FFFFFF"/>
          <w:lang w:val="en-US"/>
        </w:rPr>
        <w:t>p</w:t>
      </w:r>
      <w:r w:rsidRPr="00CE5975">
        <w:rPr>
          <w:rFonts w:ascii="Times New Roman" w:hAnsi="Times New Roman"/>
          <w:sz w:val="24"/>
          <w:szCs w:val="24"/>
          <w:shd w:val="clear" w:color="auto" w:fill="FFFFFF"/>
          <w:lang w:val="en-US"/>
        </w:rPr>
        <w:t xml:space="preserve"> &lt; .01).</w:t>
      </w:r>
      <w:r>
        <w:rPr>
          <w:rFonts w:ascii="Times New Roman" w:hAnsi="Times New Roman"/>
          <w:sz w:val="24"/>
          <w:szCs w:val="24"/>
          <w:shd w:val="clear" w:color="auto" w:fill="FFFFFF"/>
          <w:lang w:val="en-US"/>
        </w:rPr>
        <w:t xml:space="preserve"> As expected, whereas consumers interpret the number 17 as $17, they view the number 97 as $0.97 when they are operating in the burger domain. </w:t>
      </w:r>
      <w:r w:rsidR="00A44116">
        <w:rPr>
          <w:rFonts w:ascii="Times New Roman" w:hAnsi="Times New Roman"/>
          <w:sz w:val="24"/>
          <w:szCs w:val="24"/>
          <w:shd w:val="clear" w:color="auto" w:fill="FFFFFF"/>
          <w:lang w:val="en-US"/>
        </w:rPr>
        <w:t>Therefore, 17 pulls WTP up and 97 pulls it down. As argued above, consumers tend to distort the numbers to make them</w:t>
      </w:r>
      <w:r w:rsidR="007F0517">
        <w:rPr>
          <w:rFonts w:ascii="Times New Roman" w:hAnsi="Times New Roman"/>
          <w:sz w:val="24"/>
          <w:szCs w:val="24"/>
          <w:shd w:val="clear" w:color="auto" w:fill="FFFFFF"/>
          <w:lang w:val="en-US"/>
        </w:rPr>
        <w:t xml:space="preserve"> look</w:t>
      </w:r>
      <w:r w:rsidR="00A44116">
        <w:rPr>
          <w:rFonts w:ascii="Times New Roman" w:hAnsi="Times New Roman"/>
          <w:sz w:val="24"/>
          <w:szCs w:val="24"/>
          <w:shd w:val="clear" w:color="auto" w:fill="FFFFFF"/>
          <w:lang w:val="en-US"/>
        </w:rPr>
        <w:t xml:space="preserve"> more like acceptable prices for a certain product category.</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Study 2a and b</w:t>
      </w:r>
    </w:p>
    <w:p w:rsidR="00683DBC" w:rsidRPr="00790F77"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color w:val="010101"/>
          <w:sz w:val="24"/>
          <w:szCs w:val="24"/>
          <w:lang w:val="en-US" w:eastAsia="tr-TR"/>
        </w:rPr>
        <w:t xml:space="preserve">In study 1a and b, we found that the same numbers are interpreted differently depending on the context. To test </w:t>
      </w:r>
      <w:r w:rsidRPr="00130830">
        <w:rPr>
          <w:rFonts w:ascii="Times New Roman" w:hAnsi="Times New Roman"/>
          <w:color w:val="010101"/>
          <w:sz w:val="24"/>
          <w:szCs w:val="24"/>
          <w:lang w:val="en-US" w:eastAsia="tr-TR"/>
        </w:rPr>
        <w:t>whether th</w:t>
      </w:r>
      <w:r>
        <w:rPr>
          <w:rFonts w:ascii="Times New Roman" w:hAnsi="Times New Roman"/>
          <w:color w:val="010101"/>
          <w:sz w:val="24"/>
          <w:szCs w:val="24"/>
          <w:lang w:val="en-US" w:eastAsia="tr-TR"/>
        </w:rPr>
        <w:t xml:space="preserve">is </w:t>
      </w:r>
      <w:r w:rsidRPr="00130830">
        <w:rPr>
          <w:rFonts w:ascii="Times New Roman" w:hAnsi="Times New Roman"/>
          <w:color w:val="010101"/>
          <w:sz w:val="24"/>
          <w:szCs w:val="24"/>
          <w:lang w:val="en-US" w:eastAsia="tr-TR"/>
        </w:rPr>
        <w:t xml:space="preserve">effect is due to </w:t>
      </w:r>
      <w:r>
        <w:rPr>
          <w:rFonts w:ascii="Times New Roman" w:hAnsi="Times New Roman"/>
          <w:color w:val="010101"/>
          <w:sz w:val="24"/>
          <w:szCs w:val="24"/>
          <w:lang w:val="en-US" w:eastAsia="tr-TR"/>
        </w:rPr>
        <w:t xml:space="preserve">the </w:t>
      </w:r>
      <w:r w:rsidRPr="00130830">
        <w:rPr>
          <w:rFonts w:ascii="Times New Roman" w:hAnsi="Times New Roman"/>
          <w:color w:val="010101"/>
          <w:sz w:val="24"/>
          <w:szCs w:val="24"/>
          <w:lang w:val="en-US" w:eastAsia="tr-TR"/>
        </w:rPr>
        <w:t>choice of numbers</w:t>
      </w:r>
      <w:r>
        <w:rPr>
          <w:rFonts w:ascii="Times New Roman" w:hAnsi="Times New Roman"/>
          <w:color w:val="010101"/>
          <w:sz w:val="24"/>
          <w:szCs w:val="24"/>
          <w:lang w:val="en-US" w:eastAsia="tr-TR"/>
        </w:rPr>
        <w:t xml:space="preserve"> 17 and 97,</w:t>
      </w:r>
      <w:r w:rsidRPr="00130830">
        <w:rPr>
          <w:rFonts w:ascii="Times New Roman" w:hAnsi="Times New Roman"/>
          <w:color w:val="010101"/>
          <w:sz w:val="24"/>
          <w:szCs w:val="24"/>
          <w:lang w:val="en-US" w:eastAsia="tr-TR"/>
        </w:rPr>
        <w:t xml:space="preserve"> which are more applicable to a meal than a hamburger, we conducted </w:t>
      </w:r>
      <w:r>
        <w:rPr>
          <w:rFonts w:ascii="Times New Roman" w:hAnsi="Times New Roman"/>
          <w:color w:val="010101"/>
          <w:sz w:val="24"/>
          <w:szCs w:val="24"/>
          <w:lang w:val="en-US" w:eastAsia="tr-TR"/>
        </w:rPr>
        <w:t xml:space="preserve">study 2 employing anchor values </w:t>
      </w:r>
      <w:r w:rsidRPr="00130830">
        <w:rPr>
          <w:rFonts w:ascii="Times New Roman" w:hAnsi="Times New Roman"/>
          <w:color w:val="010101"/>
          <w:sz w:val="24"/>
          <w:szCs w:val="24"/>
          <w:lang w:val="en-US" w:eastAsia="tr-TR"/>
        </w:rPr>
        <w:t>more applicable to a hamburger meal.</w:t>
      </w:r>
      <w:r>
        <w:rPr>
          <w:rFonts w:ascii="Times New Roman" w:hAnsi="Times New Roman"/>
          <w:color w:val="010101"/>
          <w:sz w:val="24"/>
          <w:szCs w:val="24"/>
          <w:lang w:val="en-US" w:eastAsia="tr-TR"/>
        </w:rPr>
        <w:t xml:space="preserve"> </w:t>
      </w:r>
      <w:r w:rsidR="00D4118B">
        <w:rPr>
          <w:rFonts w:ascii="Times New Roman" w:hAnsi="Times New Roman"/>
          <w:sz w:val="24"/>
          <w:szCs w:val="24"/>
          <w:shd w:val="clear" w:color="auto" w:fill="FFFFFF"/>
          <w:lang w:val="en-US"/>
        </w:rPr>
        <w:t>Dogerlioglu-Demir and Koçaş</w:t>
      </w:r>
      <w:r>
        <w:rPr>
          <w:rFonts w:ascii="Times New Roman" w:hAnsi="Times New Roman"/>
          <w:sz w:val="24"/>
          <w:szCs w:val="24"/>
          <w:shd w:val="clear" w:color="auto" w:fill="FFFFFF"/>
          <w:lang w:val="en-US"/>
        </w:rPr>
        <w:t xml:space="preserve"> (</w:t>
      </w:r>
      <w:r w:rsidR="007F0517">
        <w:rPr>
          <w:rFonts w:ascii="Times New Roman" w:hAnsi="Times New Roman"/>
          <w:sz w:val="24"/>
          <w:szCs w:val="24"/>
          <w:shd w:val="clear" w:color="auto" w:fill="FFFFFF"/>
          <w:lang w:val="en-US"/>
        </w:rPr>
        <w:t>forthcoming</w:t>
      </w:r>
      <w:r>
        <w:rPr>
          <w:rFonts w:ascii="Times New Roman" w:hAnsi="Times New Roman"/>
          <w:sz w:val="24"/>
          <w:szCs w:val="24"/>
          <w:shd w:val="clear" w:color="auto" w:fill="FFFFFF"/>
          <w:lang w:val="en-US"/>
        </w:rPr>
        <w:t xml:space="preserve">) show that </w:t>
      </w:r>
      <w:r w:rsidRPr="00130830">
        <w:rPr>
          <w:rFonts w:ascii="Times New Roman" w:hAnsi="Times New Roman"/>
          <w:sz w:val="24"/>
          <w:szCs w:val="24"/>
          <w:shd w:val="clear" w:color="auto" w:fill="FFFFFF"/>
          <w:lang w:val="en-US"/>
        </w:rPr>
        <w:t>98% of the prices quoted as average, lower bound</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 or upper bound for a hamburger meal f</w:t>
      </w:r>
      <w:r>
        <w:rPr>
          <w:rFonts w:ascii="Times New Roman" w:hAnsi="Times New Roman"/>
          <w:sz w:val="24"/>
          <w:szCs w:val="24"/>
          <w:shd w:val="clear" w:color="auto" w:fill="FFFFFF"/>
          <w:lang w:val="en-US"/>
        </w:rPr>
        <w:t>ell</w:t>
      </w:r>
      <w:r w:rsidRPr="00130830">
        <w:rPr>
          <w:rFonts w:ascii="Times New Roman" w:hAnsi="Times New Roman"/>
          <w:sz w:val="24"/>
          <w:szCs w:val="24"/>
          <w:shd w:val="clear" w:color="auto" w:fill="FFFFFF"/>
          <w:lang w:val="en-US"/>
        </w:rPr>
        <w:t xml:space="preserve"> in the 0.99 to 19.99 range</w:t>
      </w:r>
      <w:r>
        <w:rPr>
          <w:rFonts w:ascii="Times New Roman" w:hAnsi="Times New Roman"/>
          <w:sz w:val="24"/>
          <w:szCs w:val="24"/>
          <w:shd w:val="clear" w:color="auto" w:fill="FFFFFF"/>
          <w:lang w:val="en-US"/>
        </w:rPr>
        <w:t xml:space="preserve">. Therefore, in study 2, we employed 099 and 1999 as anchor values. We expect that while 099 will pull the WTP down and 1999 will pull WTP up for the burger, 099 will pull the WTP up and 1999 will pull WTP down for the meal. </w:t>
      </w:r>
    </w:p>
    <w:p w:rsidR="001735CF" w:rsidRDefault="001735CF"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Study 2</w:t>
      </w:r>
      <w:r>
        <w:rPr>
          <w:rFonts w:ascii="Times New Roman" w:hAnsi="Times New Roman"/>
          <w:sz w:val="24"/>
          <w:szCs w:val="24"/>
          <w:shd w:val="clear" w:color="auto" w:fill="FFFFFF"/>
          <w:lang w:val="en-US"/>
        </w:rPr>
        <w:t>a</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Method</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lastRenderedPageBreak/>
        <w:t xml:space="preserve">We drew 44 </w:t>
      </w:r>
      <w:r w:rsidRPr="00130830">
        <w:rPr>
          <w:rFonts w:ascii="Times New Roman" w:hAnsi="Times New Roman"/>
          <w:sz w:val="24"/>
          <w:szCs w:val="24"/>
          <w:shd w:val="clear" w:color="auto" w:fill="FFFFFF"/>
          <w:lang w:val="en-US"/>
        </w:rPr>
        <w:t>participants from the U</w:t>
      </w:r>
      <w:r>
        <w:rPr>
          <w:rFonts w:ascii="Times New Roman" w:hAnsi="Times New Roman"/>
          <w:sz w:val="24"/>
          <w:szCs w:val="24"/>
          <w:shd w:val="clear" w:color="auto" w:fill="FFFFFF"/>
          <w:lang w:val="en-US"/>
        </w:rPr>
        <w:t xml:space="preserve">nited </w:t>
      </w:r>
      <w:r w:rsidRPr="00130830">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en-US"/>
        </w:rPr>
        <w:t>tates</w:t>
      </w:r>
      <w:r w:rsidRPr="00130830">
        <w:rPr>
          <w:rFonts w:ascii="Times New Roman" w:hAnsi="Times New Roman"/>
          <w:sz w:val="24"/>
          <w:szCs w:val="24"/>
          <w:shd w:val="clear" w:color="auto" w:fill="FFFFFF"/>
          <w:lang w:val="en-US"/>
        </w:rPr>
        <w:t xml:space="preserve"> using Amazon MTurk</w:t>
      </w:r>
      <w:r>
        <w:rPr>
          <w:rFonts w:ascii="Times New Roman" w:hAnsi="Times New Roman"/>
          <w:sz w:val="24"/>
          <w:szCs w:val="24"/>
          <w:shd w:val="clear" w:color="auto" w:fill="FFFFFF"/>
          <w:lang w:val="en-US"/>
        </w:rPr>
        <w:t xml:space="preserve"> and</w:t>
      </w:r>
      <w:r w:rsidRPr="00130830">
        <w:rPr>
          <w:rFonts w:ascii="Times New Roman" w:hAnsi="Times New Roman"/>
          <w:sz w:val="24"/>
          <w:szCs w:val="24"/>
          <w:shd w:val="clear" w:color="auto" w:fill="FFFFFF"/>
          <w:lang w:val="en-US"/>
        </w:rPr>
        <w:t xml:space="preserve"> used </w:t>
      </w:r>
      <w:r>
        <w:rPr>
          <w:rFonts w:ascii="Times New Roman" w:hAnsi="Times New Roman"/>
          <w:sz w:val="24"/>
          <w:szCs w:val="24"/>
          <w:shd w:val="clear" w:color="auto" w:fill="FFFFFF"/>
          <w:lang w:val="en-US"/>
        </w:rPr>
        <w:t>a 2 condition (099 and</w:t>
      </w:r>
      <w:r w:rsidRPr="00130830">
        <w:rPr>
          <w:rFonts w:ascii="Times New Roman" w:hAnsi="Times New Roman"/>
          <w:sz w:val="24"/>
          <w:szCs w:val="24"/>
          <w:shd w:val="clear" w:color="auto" w:fill="FFFFFF"/>
          <w:lang w:val="en-US"/>
        </w:rPr>
        <w:t>1999) between</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subjects design to test the effect of different anchors on consumers’ WTP </w:t>
      </w:r>
      <w:r>
        <w:rPr>
          <w:rFonts w:ascii="Times New Roman" w:hAnsi="Times New Roman"/>
          <w:sz w:val="24"/>
          <w:szCs w:val="24"/>
          <w:shd w:val="clear" w:color="auto" w:fill="FFFFFF"/>
          <w:lang w:val="en-US"/>
        </w:rPr>
        <w:t>for an average meal at an expensive restaurant using the same as in Study 1a. We asked our participants “H</w:t>
      </w:r>
      <w:r w:rsidRPr="00130830">
        <w:rPr>
          <w:rFonts w:ascii="Times New Roman" w:hAnsi="Times New Roman"/>
          <w:sz w:val="24"/>
          <w:szCs w:val="24"/>
          <w:shd w:val="clear" w:color="auto" w:fill="FFFFFF"/>
          <w:lang w:val="en-US"/>
        </w:rPr>
        <w:t xml:space="preserve">ow much would you be willing to pay for your own meal at </w:t>
      </w:r>
      <w:r>
        <w:rPr>
          <w:rFonts w:ascii="Times New Roman" w:hAnsi="Times New Roman"/>
          <w:sz w:val="24"/>
          <w:szCs w:val="24"/>
          <w:shd w:val="clear" w:color="auto" w:fill="FFFFFF"/>
          <w:lang w:val="en-US"/>
        </w:rPr>
        <w:t>Studio 099 vs. 1999?</w:t>
      </w:r>
      <w:r w:rsidRPr="00130830">
        <w:rPr>
          <w:rFonts w:ascii="Times New Roman" w:hAnsi="Times New Roman"/>
          <w:sz w:val="24"/>
          <w:szCs w:val="24"/>
          <w:shd w:val="clear" w:color="auto" w:fill="FFFFFF"/>
          <w:lang w:val="en-US"/>
        </w:rPr>
        <w:t>”</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Results and discussion</w:t>
      </w:r>
    </w:p>
    <w:p w:rsidR="00A44116" w:rsidRDefault="00683DBC" w:rsidP="007F0517">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W</w:t>
      </w:r>
      <w:r w:rsidRPr="00130830">
        <w:rPr>
          <w:rFonts w:ascii="Times New Roman" w:hAnsi="Times New Roman"/>
          <w:sz w:val="24"/>
          <w:szCs w:val="24"/>
          <w:shd w:val="clear" w:color="auto" w:fill="FFFFFF"/>
          <w:lang w:val="en-US"/>
        </w:rPr>
        <w:t xml:space="preserve">e found a </w:t>
      </w:r>
      <w:r>
        <w:rPr>
          <w:rFonts w:ascii="Times New Roman" w:hAnsi="Times New Roman"/>
          <w:sz w:val="24"/>
          <w:szCs w:val="24"/>
          <w:shd w:val="clear" w:color="auto" w:fill="FFFFFF"/>
          <w:lang w:val="en-US"/>
        </w:rPr>
        <w:t xml:space="preserve">marginal </w:t>
      </w:r>
      <w:r w:rsidRPr="00130830">
        <w:rPr>
          <w:rFonts w:ascii="Times New Roman" w:hAnsi="Times New Roman"/>
          <w:sz w:val="24"/>
          <w:szCs w:val="24"/>
          <w:shd w:val="clear" w:color="auto" w:fill="FFFFFF"/>
          <w:lang w:val="en-US"/>
        </w:rPr>
        <w:t xml:space="preserve">significant difference in WTP for an average meal at Studio </w:t>
      </w:r>
      <w:r>
        <w:rPr>
          <w:rFonts w:ascii="Times New Roman" w:hAnsi="Times New Roman"/>
          <w:sz w:val="24"/>
          <w:szCs w:val="24"/>
          <w:shd w:val="clear" w:color="auto" w:fill="FFFFFF"/>
          <w:lang w:val="en-US"/>
        </w:rPr>
        <w:t>099</w:t>
      </w:r>
      <w:r w:rsidRPr="00130830">
        <w:rPr>
          <w:rFonts w:ascii="Times New Roman" w:hAnsi="Times New Roman"/>
          <w:sz w:val="24"/>
          <w:szCs w:val="24"/>
          <w:shd w:val="clear" w:color="auto" w:fill="FFFFFF"/>
          <w:lang w:val="en-US"/>
        </w:rPr>
        <w:t xml:space="preserve"> v</w:t>
      </w:r>
      <w:r>
        <w:rPr>
          <w:rFonts w:ascii="Times New Roman" w:hAnsi="Times New Roman"/>
          <w:sz w:val="24"/>
          <w:szCs w:val="24"/>
          <w:shd w:val="clear" w:color="auto" w:fill="FFFFFF"/>
          <w:lang w:val="en-US"/>
        </w:rPr>
        <w:t>er</w:t>
      </w:r>
      <w:r w:rsidRPr="00130830">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en-US"/>
        </w:rPr>
        <w:t>us</w:t>
      </w:r>
      <w:r w:rsidRPr="00130830">
        <w:rPr>
          <w:rFonts w:ascii="Times New Roman" w:hAnsi="Times New Roman"/>
          <w:sz w:val="24"/>
          <w:szCs w:val="24"/>
          <w:shd w:val="clear" w:color="auto" w:fill="FFFFFF"/>
          <w:lang w:val="en-US"/>
        </w:rPr>
        <w:t xml:space="preserve"> Studio </w:t>
      </w:r>
      <w:r>
        <w:rPr>
          <w:rFonts w:ascii="Times New Roman" w:hAnsi="Times New Roman"/>
          <w:sz w:val="24"/>
          <w:szCs w:val="24"/>
          <w:shd w:val="clear" w:color="auto" w:fill="FFFFFF"/>
          <w:lang w:val="en-US"/>
        </w:rPr>
        <w:t>1999</w:t>
      </w:r>
      <w:r w:rsidRPr="00130830">
        <w:rPr>
          <w:rFonts w:ascii="Times New Roman" w:hAnsi="Times New Roman"/>
          <w:sz w:val="24"/>
          <w:szCs w:val="24"/>
          <w:shd w:val="clear" w:color="auto" w:fill="FFFFFF"/>
          <w:lang w:val="en-US"/>
        </w:rPr>
        <w:t xml:space="preserve"> (</w:t>
      </w:r>
      <w:r w:rsidRPr="00130830">
        <w:rPr>
          <w:rFonts w:ascii="Times New Roman" w:hAnsi="Times New Roman"/>
          <w:i/>
          <w:sz w:val="24"/>
          <w:szCs w:val="24"/>
          <w:shd w:val="clear" w:color="auto" w:fill="FFFFFF"/>
          <w:lang w:val="en-US"/>
        </w:rPr>
        <w:t>M</w:t>
      </w:r>
      <w:r>
        <w:rPr>
          <w:rFonts w:ascii="Times New Roman" w:hAnsi="Times New Roman"/>
          <w:i/>
          <w:sz w:val="24"/>
          <w:szCs w:val="24"/>
          <w:shd w:val="clear" w:color="auto" w:fill="FFFFFF"/>
          <w:vertAlign w:val="subscript"/>
          <w:lang w:val="en-US"/>
        </w:rPr>
        <w:t>Studio099</w:t>
      </w:r>
      <w:r w:rsidRPr="00130830">
        <w:rPr>
          <w:rFonts w:ascii="Times New Roman" w:hAnsi="Times New Roman"/>
          <w:i/>
          <w:sz w:val="24"/>
          <w:szCs w:val="24"/>
          <w:shd w:val="clear" w:color="auto" w:fill="FFFFFF"/>
          <w:vertAlign w:val="subscript"/>
          <w:lang w:val="en-US"/>
        </w:rPr>
        <w:t>_meal</w:t>
      </w:r>
      <w:r>
        <w:rPr>
          <w:rFonts w:ascii="Times New Roman" w:hAnsi="Times New Roman"/>
          <w:sz w:val="24"/>
          <w:szCs w:val="24"/>
          <w:shd w:val="clear" w:color="auto" w:fill="FFFFFF"/>
          <w:lang w:val="en-US"/>
        </w:rPr>
        <w:t xml:space="preserve"> </w:t>
      </w:r>
      <w:r w:rsidRPr="00130830">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41.15</w:t>
      </w:r>
      <w:r w:rsidRPr="00130830">
        <w:rPr>
          <w:rFonts w:ascii="Times New Roman" w:hAnsi="Times New Roman"/>
          <w:sz w:val="24"/>
          <w:szCs w:val="24"/>
          <w:shd w:val="clear" w:color="auto" w:fill="FFFFFF"/>
          <w:lang w:val="en-US"/>
        </w:rPr>
        <w:t>, SD</w:t>
      </w:r>
      <w:r w:rsidRPr="00130830">
        <w:rPr>
          <w:rFonts w:ascii="Times New Roman" w:hAnsi="Times New Roman"/>
          <w:i/>
          <w:sz w:val="24"/>
          <w:szCs w:val="24"/>
          <w:shd w:val="clear" w:color="auto" w:fill="FFFFFF"/>
          <w:lang w:val="en-US"/>
        </w:rPr>
        <w:t xml:space="preserve"> </w:t>
      </w:r>
      <w:r w:rsidRPr="00130830">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35.71</w:t>
      </w:r>
      <w:r w:rsidRPr="00130830">
        <w:rPr>
          <w:rFonts w:ascii="Times New Roman" w:hAnsi="Times New Roman"/>
          <w:sz w:val="24"/>
          <w:szCs w:val="24"/>
          <w:shd w:val="clear" w:color="auto" w:fill="FFFFFF"/>
          <w:lang w:val="en-US"/>
        </w:rPr>
        <w:t xml:space="preserve">; </w:t>
      </w:r>
      <w:r w:rsidRPr="00130830">
        <w:rPr>
          <w:rFonts w:ascii="Times New Roman" w:hAnsi="Times New Roman"/>
          <w:i/>
          <w:sz w:val="24"/>
          <w:szCs w:val="24"/>
          <w:shd w:val="clear" w:color="auto" w:fill="FFFFFF"/>
          <w:lang w:val="en-US"/>
        </w:rPr>
        <w:t>M</w:t>
      </w:r>
      <w:r>
        <w:rPr>
          <w:rFonts w:ascii="Times New Roman" w:hAnsi="Times New Roman"/>
          <w:i/>
          <w:sz w:val="24"/>
          <w:szCs w:val="24"/>
          <w:shd w:val="clear" w:color="auto" w:fill="FFFFFF"/>
          <w:vertAlign w:val="subscript"/>
          <w:lang w:val="en-US"/>
        </w:rPr>
        <w:t>Studio1999</w:t>
      </w:r>
      <w:r w:rsidRPr="00130830">
        <w:rPr>
          <w:rFonts w:ascii="Times New Roman" w:hAnsi="Times New Roman"/>
          <w:i/>
          <w:sz w:val="24"/>
          <w:szCs w:val="24"/>
          <w:shd w:val="clear" w:color="auto" w:fill="FFFFFF"/>
          <w:vertAlign w:val="subscript"/>
          <w:lang w:val="en-US"/>
        </w:rPr>
        <w:t>_meal</w:t>
      </w:r>
      <w:r>
        <w:rPr>
          <w:rFonts w:ascii="Times New Roman" w:hAnsi="Times New Roman"/>
          <w:sz w:val="24"/>
          <w:szCs w:val="24"/>
          <w:shd w:val="clear" w:color="auto" w:fill="FFFFFF"/>
          <w:lang w:val="en-US"/>
        </w:rPr>
        <w:t xml:space="preserve"> </w:t>
      </w:r>
      <w:r w:rsidRPr="00130830">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28.08</w:t>
      </w:r>
      <w:r w:rsidRPr="00130830">
        <w:rPr>
          <w:rFonts w:ascii="Times New Roman" w:hAnsi="Times New Roman"/>
          <w:sz w:val="24"/>
          <w:szCs w:val="24"/>
          <w:shd w:val="clear" w:color="auto" w:fill="FFFFFF"/>
          <w:lang w:val="en-US"/>
        </w:rPr>
        <w:t>, SD</w:t>
      </w:r>
      <w:r w:rsidRPr="00130830">
        <w:rPr>
          <w:rFonts w:ascii="Times New Roman" w:hAnsi="Times New Roman"/>
          <w:i/>
          <w:sz w:val="24"/>
          <w:szCs w:val="24"/>
          <w:shd w:val="clear" w:color="auto" w:fill="FFFFFF"/>
          <w:lang w:val="en-US"/>
        </w:rPr>
        <w:t xml:space="preserve"> </w:t>
      </w:r>
      <w:r w:rsidRPr="00130830">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10.96</w:t>
      </w:r>
      <w:r w:rsidRPr="00130830">
        <w:rPr>
          <w:rFonts w:ascii="Times New Roman" w:hAnsi="Times New Roman"/>
          <w:sz w:val="24"/>
          <w:szCs w:val="24"/>
          <w:shd w:val="clear" w:color="auto" w:fill="FFFFFF"/>
          <w:lang w:val="en-US"/>
        </w:rPr>
        <w:t xml:space="preserve">; </w:t>
      </w:r>
      <w:r w:rsidRPr="00130830">
        <w:rPr>
          <w:rFonts w:ascii="Times New Roman" w:hAnsi="Times New Roman"/>
          <w:i/>
          <w:sz w:val="24"/>
          <w:szCs w:val="24"/>
          <w:shd w:val="clear" w:color="auto" w:fill="FFFFFF"/>
          <w:lang w:val="en-US"/>
        </w:rPr>
        <w:t>t</w:t>
      </w:r>
      <w:r w:rsidRPr="00130830">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42</w:t>
      </w:r>
      <w:r w:rsidRPr="00130830">
        <w:rPr>
          <w:rFonts w:ascii="Times New Roman" w:hAnsi="Times New Roman"/>
          <w:sz w:val="24"/>
          <w:szCs w:val="24"/>
          <w:shd w:val="clear" w:color="auto" w:fill="FFFFFF"/>
          <w:lang w:val="en-US"/>
        </w:rPr>
        <w:t xml:space="preserve">) = </w:t>
      </w:r>
      <w:r>
        <w:rPr>
          <w:rFonts w:ascii="Times New Roman" w:hAnsi="Times New Roman"/>
          <w:sz w:val="24"/>
          <w:szCs w:val="24"/>
          <w:shd w:val="clear" w:color="auto" w:fill="FFFFFF"/>
          <w:lang w:val="en-US"/>
        </w:rPr>
        <w:t>1.70</w:t>
      </w:r>
      <w:r w:rsidRPr="00130830">
        <w:rPr>
          <w:rFonts w:ascii="Times New Roman" w:hAnsi="Times New Roman"/>
          <w:sz w:val="24"/>
          <w:szCs w:val="24"/>
          <w:shd w:val="clear" w:color="auto" w:fill="FFFFFF"/>
          <w:lang w:val="en-US"/>
        </w:rPr>
        <w:t xml:space="preserve">, </w:t>
      </w:r>
      <w:r w:rsidRPr="00130830">
        <w:rPr>
          <w:rFonts w:ascii="Times New Roman" w:hAnsi="Times New Roman"/>
          <w:i/>
          <w:sz w:val="24"/>
          <w:szCs w:val="24"/>
          <w:shd w:val="clear" w:color="auto" w:fill="FFFFFF"/>
          <w:lang w:val="en-US"/>
        </w:rPr>
        <w:t>p</w:t>
      </w:r>
      <w:r>
        <w:rPr>
          <w:rFonts w:ascii="Times New Roman" w:hAnsi="Times New Roman"/>
          <w:i/>
          <w:sz w:val="24"/>
          <w:szCs w:val="24"/>
          <w:shd w:val="clear" w:color="auto" w:fill="FFFFFF"/>
          <w:lang w:val="en-US"/>
        </w:rPr>
        <w:t xml:space="preserve"> </w:t>
      </w:r>
      <w:r w:rsidRPr="00130830">
        <w:rPr>
          <w:rFonts w:ascii="Times New Roman" w:hAnsi="Times New Roman"/>
          <w:sz w:val="24"/>
          <w:szCs w:val="24"/>
          <w:shd w:val="clear" w:color="auto" w:fill="FFFFFF"/>
          <w:lang w:val="en-US"/>
        </w:rPr>
        <w:t>&lt;</w:t>
      </w:r>
      <w:r>
        <w:rPr>
          <w:rFonts w:ascii="Times New Roman" w:hAnsi="Times New Roman"/>
          <w:sz w:val="24"/>
          <w:szCs w:val="24"/>
          <w:shd w:val="clear" w:color="auto" w:fill="FFFFFF"/>
          <w:lang w:val="en-US"/>
        </w:rPr>
        <w:t xml:space="preserve"> </w:t>
      </w:r>
      <w:r w:rsidRPr="00130830">
        <w:rPr>
          <w:rFonts w:ascii="Times New Roman" w:hAnsi="Times New Roman"/>
          <w:sz w:val="24"/>
          <w:szCs w:val="24"/>
          <w:shd w:val="clear" w:color="auto" w:fill="FFFFFF"/>
          <w:lang w:val="en-US"/>
        </w:rPr>
        <w:t>0.0</w:t>
      </w:r>
      <w:r>
        <w:rPr>
          <w:rFonts w:ascii="Times New Roman" w:hAnsi="Times New Roman"/>
          <w:sz w:val="24"/>
          <w:szCs w:val="24"/>
          <w:shd w:val="clear" w:color="auto" w:fill="FFFFFF"/>
          <w:lang w:val="en-US"/>
        </w:rPr>
        <w:t>9</w:t>
      </w:r>
      <w:r w:rsidRPr="00130830">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As hypothesized, while consumers interpret the number 1999 as $19.99, they view the number 099 as $99 when they are operating in the meal domain. </w:t>
      </w:r>
      <w:r w:rsidR="00A44116">
        <w:rPr>
          <w:rFonts w:ascii="Times New Roman" w:hAnsi="Times New Roman"/>
          <w:sz w:val="24"/>
          <w:szCs w:val="24"/>
          <w:shd w:val="clear" w:color="auto" w:fill="FFFFFF"/>
          <w:lang w:val="en-US"/>
        </w:rPr>
        <w:t>Therefore, while 099 pulls WTP up, 1999 pulls it down, demonstrating the context dependent nature of anchoring.</w:t>
      </w:r>
    </w:p>
    <w:p w:rsidR="00683DBC" w:rsidRDefault="00683DBC" w:rsidP="001C49E8">
      <w:pPr>
        <w:autoSpaceDE w:val="0"/>
        <w:autoSpaceDN w:val="0"/>
        <w:adjustRightInd w:val="0"/>
        <w:spacing w:after="0" w:line="240" w:lineRule="auto"/>
        <w:rPr>
          <w:rFonts w:ascii="Times New Roman" w:hAnsi="Times New Roman"/>
          <w:sz w:val="24"/>
          <w:szCs w:val="24"/>
          <w:shd w:val="clear" w:color="auto" w:fill="FFFFFF"/>
          <w:lang w:val="en-US"/>
        </w:rPr>
      </w:pP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872891">
        <w:rPr>
          <w:rFonts w:ascii="Times New Roman" w:hAnsi="Times New Roman"/>
          <w:sz w:val="24"/>
          <w:szCs w:val="24"/>
          <w:shd w:val="clear" w:color="auto" w:fill="FFFFFF"/>
          <w:lang w:val="en-US"/>
        </w:rPr>
        <w:t>Study 2</w:t>
      </w:r>
      <w:r>
        <w:rPr>
          <w:rFonts w:ascii="Times New Roman" w:hAnsi="Times New Roman"/>
          <w:sz w:val="24"/>
          <w:szCs w:val="24"/>
          <w:shd w:val="clear" w:color="auto" w:fill="FFFFFF"/>
          <w:lang w:val="en-US"/>
        </w:rPr>
        <w:t>b</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Method</w:t>
      </w: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CE5975">
        <w:rPr>
          <w:rFonts w:ascii="Times New Roman" w:hAnsi="Times New Roman"/>
          <w:sz w:val="24"/>
          <w:szCs w:val="24"/>
          <w:shd w:val="clear" w:color="auto" w:fill="FFFFFF"/>
          <w:lang w:val="en-US"/>
        </w:rPr>
        <w:t xml:space="preserve">We drew </w:t>
      </w:r>
      <w:r>
        <w:rPr>
          <w:rFonts w:ascii="Times New Roman" w:hAnsi="Times New Roman"/>
          <w:sz w:val="24"/>
          <w:szCs w:val="24"/>
          <w:shd w:val="clear" w:color="auto" w:fill="FFFFFF"/>
          <w:lang w:val="en-US"/>
        </w:rPr>
        <w:t xml:space="preserve">72 </w:t>
      </w:r>
      <w:r w:rsidRPr="00CE5975">
        <w:rPr>
          <w:rFonts w:ascii="Times New Roman" w:hAnsi="Times New Roman"/>
          <w:sz w:val="24"/>
          <w:szCs w:val="24"/>
          <w:shd w:val="clear" w:color="auto" w:fill="FFFFFF"/>
          <w:lang w:val="en-US"/>
        </w:rPr>
        <w:t>participants</w:t>
      </w:r>
      <w:r w:rsidRPr="00130830">
        <w:rPr>
          <w:rFonts w:ascii="Times New Roman" w:hAnsi="Times New Roman"/>
          <w:sz w:val="24"/>
          <w:szCs w:val="24"/>
          <w:shd w:val="clear" w:color="auto" w:fill="FFFFFF"/>
          <w:lang w:val="en-US"/>
        </w:rPr>
        <w:t xml:space="preserve"> from the U</w:t>
      </w:r>
      <w:r>
        <w:rPr>
          <w:rFonts w:ascii="Times New Roman" w:hAnsi="Times New Roman"/>
          <w:sz w:val="24"/>
          <w:szCs w:val="24"/>
          <w:shd w:val="clear" w:color="auto" w:fill="FFFFFF"/>
          <w:lang w:val="en-US"/>
        </w:rPr>
        <w:t xml:space="preserve">nited </w:t>
      </w:r>
      <w:r w:rsidRPr="00130830">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en-US"/>
        </w:rPr>
        <w:t>tates</w:t>
      </w:r>
      <w:r w:rsidRPr="00130830">
        <w:rPr>
          <w:rFonts w:ascii="Times New Roman" w:hAnsi="Times New Roman"/>
          <w:sz w:val="24"/>
          <w:szCs w:val="24"/>
          <w:shd w:val="clear" w:color="auto" w:fill="FFFFFF"/>
          <w:lang w:val="en-US"/>
        </w:rPr>
        <w:t xml:space="preserve"> using Amazon MTurk</w:t>
      </w:r>
      <w:r>
        <w:rPr>
          <w:rFonts w:ascii="Times New Roman" w:hAnsi="Times New Roman"/>
          <w:sz w:val="24"/>
          <w:szCs w:val="24"/>
          <w:shd w:val="clear" w:color="auto" w:fill="FFFFFF"/>
          <w:lang w:val="en-US"/>
        </w:rPr>
        <w:t xml:space="preserve"> and</w:t>
      </w:r>
      <w:r w:rsidRPr="00130830">
        <w:rPr>
          <w:rFonts w:ascii="Times New Roman" w:hAnsi="Times New Roman"/>
          <w:sz w:val="24"/>
          <w:szCs w:val="24"/>
          <w:shd w:val="clear" w:color="auto" w:fill="FFFFFF"/>
          <w:lang w:val="en-US"/>
        </w:rPr>
        <w:t xml:space="preserve"> used </w:t>
      </w:r>
      <w:r>
        <w:rPr>
          <w:rFonts w:ascii="Times New Roman" w:hAnsi="Times New Roman"/>
          <w:sz w:val="24"/>
          <w:szCs w:val="24"/>
          <w:shd w:val="clear" w:color="auto" w:fill="FFFFFF"/>
          <w:lang w:val="en-US"/>
        </w:rPr>
        <w:t>a 2 condition (099 and</w:t>
      </w:r>
      <w:r w:rsidRPr="00130830">
        <w:rPr>
          <w:rFonts w:ascii="Times New Roman" w:hAnsi="Times New Roman"/>
          <w:sz w:val="24"/>
          <w:szCs w:val="24"/>
          <w:shd w:val="clear" w:color="auto" w:fill="FFFFFF"/>
          <w:lang w:val="en-US"/>
        </w:rPr>
        <w:t>1999) between</w:t>
      </w:r>
      <w:r>
        <w:rPr>
          <w:rFonts w:ascii="Times New Roman" w:hAnsi="Times New Roman"/>
          <w:sz w:val="24"/>
          <w:szCs w:val="24"/>
          <w:shd w:val="clear" w:color="auto" w:fill="FFFFFF"/>
          <w:lang w:val="en-US"/>
        </w:rPr>
        <w:t>-</w:t>
      </w:r>
      <w:r w:rsidRPr="00130830">
        <w:rPr>
          <w:rFonts w:ascii="Times New Roman" w:hAnsi="Times New Roman"/>
          <w:sz w:val="24"/>
          <w:szCs w:val="24"/>
          <w:shd w:val="clear" w:color="auto" w:fill="FFFFFF"/>
          <w:lang w:val="en-US"/>
        </w:rPr>
        <w:t xml:space="preserve">subjects design to test the effect of different anchors on consumers’ WTP </w:t>
      </w:r>
      <w:r>
        <w:rPr>
          <w:rFonts w:ascii="Times New Roman" w:hAnsi="Times New Roman"/>
          <w:sz w:val="24"/>
          <w:szCs w:val="24"/>
          <w:shd w:val="clear" w:color="auto" w:fill="FFFFFF"/>
          <w:lang w:val="en-US"/>
        </w:rPr>
        <w:t>for a hamburger meal employing the same scenario as study 1b. We asked respondents “H</w:t>
      </w:r>
      <w:r w:rsidRPr="00130830">
        <w:rPr>
          <w:rFonts w:ascii="Times New Roman" w:hAnsi="Times New Roman"/>
          <w:sz w:val="24"/>
          <w:szCs w:val="24"/>
          <w:shd w:val="clear" w:color="auto" w:fill="FFFFFF"/>
          <w:lang w:val="en-US"/>
        </w:rPr>
        <w:t xml:space="preserve">ow much would you be willing to pay for </w:t>
      </w:r>
      <w:r>
        <w:rPr>
          <w:rFonts w:ascii="Times New Roman" w:hAnsi="Times New Roman"/>
          <w:sz w:val="24"/>
          <w:szCs w:val="24"/>
          <w:shd w:val="clear" w:color="auto" w:fill="FFFFFF"/>
          <w:lang w:val="en-US"/>
        </w:rPr>
        <w:t>the 099 burger vs. the 1999 burger?”</w:t>
      </w:r>
    </w:p>
    <w:p w:rsidR="00683DBC" w:rsidRDefault="00683DBC" w:rsidP="001C49E8">
      <w:pPr>
        <w:autoSpaceDE w:val="0"/>
        <w:autoSpaceDN w:val="0"/>
        <w:adjustRightInd w:val="0"/>
        <w:spacing w:after="0" w:line="240" w:lineRule="auto"/>
        <w:rPr>
          <w:rFonts w:ascii="Times New Roman" w:hAnsi="Times New Roman"/>
          <w:sz w:val="24"/>
          <w:szCs w:val="24"/>
          <w:shd w:val="clear" w:color="auto" w:fill="FFFFFF"/>
          <w:lang w:val="en-US"/>
        </w:rPr>
      </w:pPr>
    </w:p>
    <w:p w:rsidR="00683DBC" w:rsidRDefault="00683DBC" w:rsidP="001C49E8">
      <w:pPr>
        <w:autoSpaceDE w:val="0"/>
        <w:autoSpaceDN w:val="0"/>
        <w:adjustRightInd w:val="0"/>
        <w:spacing w:after="0" w:line="240" w:lineRule="auto"/>
        <w:ind w:firstLine="708"/>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Results and discussion</w:t>
      </w:r>
    </w:p>
    <w:p w:rsidR="00A44116" w:rsidRDefault="00683DBC" w:rsidP="007F0517">
      <w:pPr>
        <w:autoSpaceDE w:val="0"/>
        <w:autoSpaceDN w:val="0"/>
        <w:adjustRightInd w:val="0"/>
        <w:spacing w:after="0" w:line="240" w:lineRule="auto"/>
        <w:ind w:firstLine="708"/>
        <w:rPr>
          <w:rFonts w:ascii="Times New Roman" w:hAnsi="Times New Roman"/>
          <w:sz w:val="24"/>
          <w:szCs w:val="24"/>
          <w:shd w:val="clear" w:color="auto" w:fill="FFFFFF"/>
          <w:lang w:val="en-US"/>
        </w:rPr>
      </w:pPr>
      <w:r w:rsidRPr="00CE5975">
        <w:rPr>
          <w:rFonts w:ascii="Times New Roman" w:hAnsi="Times New Roman"/>
          <w:sz w:val="24"/>
          <w:szCs w:val="24"/>
          <w:shd w:val="clear" w:color="auto" w:fill="FFFFFF"/>
          <w:lang w:val="en-US"/>
        </w:rPr>
        <w:t>We found a significant difference in WTP for the 099 burger versus the 1999 burger (</w:t>
      </w:r>
      <w:r w:rsidRPr="00CE5975">
        <w:rPr>
          <w:rFonts w:ascii="Times New Roman" w:hAnsi="Times New Roman"/>
          <w:i/>
          <w:sz w:val="24"/>
          <w:szCs w:val="24"/>
          <w:shd w:val="clear" w:color="auto" w:fill="FFFFFF"/>
          <w:lang w:val="en-US"/>
        </w:rPr>
        <w:t>M</w:t>
      </w:r>
      <w:r w:rsidRPr="00CE5975">
        <w:rPr>
          <w:rFonts w:ascii="Times New Roman" w:hAnsi="Times New Roman"/>
          <w:i/>
          <w:sz w:val="24"/>
          <w:szCs w:val="24"/>
          <w:shd w:val="clear" w:color="auto" w:fill="FFFFFF"/>
          <w:vertAlign w:val="subscript"/>
          <w:lang w:val="en-US"/>
        </w:rPr>
        <w:t xml:space="preserve">099burger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5.33</w:t>
      </w:r>
      <w:r w:rsidRPr="00CE5975">
        <w:rPr>
          <w:rFonts w:ascii="Times New Roman" w:hAnsi="Times New Roman"/>
          <w:sz w:val="24"/>
          <w:szCs w:val="24"/>
          <w:shd w:val="clear" w:color="auto" w:fill="FFFFFF"/>
          <w:lang w:val="en-US"/>
        </w:rPr>
        <w:t>, SD</w:t>
      </w:r>
      <w:r w:rsidRPr="00CE5975">
        <w:rPr>
          <w:rFonts w:ascii="Times New Roman" w:hAnsi="Times New Roman"/>
          <w:i/>
          <w:sz w:val="24"/>
          <w:szCs w:val="24"/>
          <w:shd w:val="clear" w:color="auto" w:fill="FFFFFF"/>
          <w:lang w:val="en-US"/>
        </w:rPr>
        <w:t xml:space="preserve">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2.94</w:t>
      </w:r>
      <w:r w:rsidRPr="00CE5975">
        <w:rPr>
          <w:rFonts w:ascii="Times New Roman" w:hAnsi="Times New Roman"/>
          <w:sz w:val="24"/>
          <w:szCs w:val="24"/>
          <w:shd w:val="clear" w:color="auto" w:fill="FFFFFF"/>
          <w:lang w:val="en-US"/>
        </w:rPr>
        <w:t xml:space="preserve">; </w:t>
      </w:r>
      <w:r w:rsidRPr="00CE5975">
        <w:rPr>
          <w:rFonts w:ascii="Times New Roman" w:hAnsi="Times New Roman"/>
          <w:i/>
          <w:sz w:val="24"/>
          <w:szCs w:val="24"/>
          <w:shd w:val="clear" w:color="auto" w:fill="FFFFFF"/>
          <w:lang w:val="en-US"/>
        </w:rPr>
        <w:t>M</w:t>
      </w:r>
      <w:r w:rsidRPr="00CE5975">
        <w:rPr>
          <w:rFonts w:ascii="Times New Roman" w:hAnsi="Times New Roman"/>
          <w:i/>
          <w:sz w:val="24"/>
          <w:szCs w:val="24"/>
          <w:shd w:val="clear" w:color="auto" w:fill="FFFFFF"/>
          <w:vertAlign w:val="subscript"/>
          <w:lang w:val="en-US"/>
        </w:rPr>
        <w:t xml:space="preserve">1999burger </w:t>
      </w:r>
      <w:r w:rsidRPr="00CE597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6.56</w:t>
      </w:r>
      <w:r w:rsidRPr="00CE5975">
        <w:rPr>
          <w:rFonts w:ascii="Times New Roman" w:hAnsi="Times New Roman"/>
          <w:sz w:val="24"/>
          <w:szCs w:val="24"/>
          <w:shd w:val="clear" w:color="auto" w:fill="FFFFFF"/>
          <w:lang w:val="en-US"/>
        </w:rPr>
        <w:t xml:space="preserve"> , SD</w:t>
      </w:r>
      <w:r w:rsidRPr="00CE5975">
        <w:rPr>
          <w:rFonts w:ascii="Times New Roman" w:hAnsi="Times New Roman"/>
          <w:i/>
          <w:sz w:val="24"/>
          <w:szCs w:val="24"/>
          <w:shd w:val="clear" w:color="auto" w:fill="FFFFFF"/>
          <w:lang w:val="en-US"/>
        </w:rPr>
        <w:t xml:space="preserve"> </w:t>
      </w:r>
      <w:r w:rsidRPr="00CE5975">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2.00</w:t>
      </w:r>
      <w:r w:rsidRPr="00CE5975">
        <w:rPr>
          <w:rFonts w:ascii="Times New Roman" w:hAnsi="Times New Roman"/>
          <w:sz w:val="24"/>
          <w:szCs w:val="24"/>
          <w:shd w:val="clear" w:color="auto" w:fill="FFFFFF"/>
          <w:lang w:val="en-US"/>
        </w:rPr>
        <w:t>;</w:t>
      </w:r>
      <w:r w:rsidRPr="00CE5975">
        <w:rPr>
          <w:rFonts w:ascii="Times New Roman" w:hAnsi="Times New Roman"/>
          <w:i/>
          <w:sz w:val="24"/>
          <w:szCs w:val="24"/>
          <w:shd w:val="clear" w:color="auto" w:fill="FFFFFF"/>
          <w:lang w:val="en-US"/>
        </w:rPr>
        <w:t xml:space="preserve"> t</w:t>
      </w:r>
      <w:r w:rsidRPr="00CE597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70</w:t>
      </w:r>
      <w:r w:rsidRPr="00CE5975">
        <w:rPr>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 xml:space="preserve"> -1.96</w:t>
      </w:r>
      <w:r w:rsidRPr="00CE5975">
        <w:rPr>
          <w:rFonts w:ascii="Times New Roman" w:hAnsi="Times New Roman"/>
          <w:sz w:val="24"/>
          <w:szCs w:val="24"/>
          <w:shd w:val="clear" w:color="auto" w:fill="FFFFFF"/>
          <w:lang w:val="en-US"/>
        </w:rPr>
        <w:t xml:space="preserve"> , </w:t>
      </w:r>
      <w:r w:rsidRPr="00CE5975">
        <w:rPr>
          <w:rFonts w:ascii="Times New Roman" w:hAnsi="Times New Roman"/>
          <w:i/>
          <w:sz w:val="24"/>
          <w:szCs w:val="24"/>
          <w:shd w:val="clear" w:color="auto" w:fill="FFFFFF"/>
          <w:lang w:val="en-US"/>
        </w:rPr>
        <w:t>p</w:t>
      </w:r>
      <w:r w:rsidRPr="00CE5975">
        <w:rPr>
          <w:rFonts w:ascii="Times New Roman" w:hAnsi="Times New Roman"/>
          <w:sz w:val="24"/>
          <w:szCs w:val="24"/>
          <w:shd w:val="clear" w:color="auto" w:fill="FFFFFF"/>
          <w:lang w:val="en-US"/>
        </w:rPr>
        <w:t xml:space="preserve"> &lt; .01).</w:t>
      </w:r>
      <w:r w:rsidR="00A44116">
        <w:rPr>
          <w:rFonts w:ascii="Times New Roman" w:hAnsi="Times New Roman"/>
          <w:sz w:val="24"/>
          <w:szCs w:val="24"/>
          <w:shd w:val="clear" w:color="auto" w:fill="FFFFFF"/>
          <w:lang w:val="en-US"/>
        </w:rPr>
        <w:t xml:space="preserve"> As proposed, while 099 pulls WTP down, 1999 pulls it down, showing that consumers take 099 as the lower bound and 1999 as the upper bound</w:t>
      </w:r>
      <w:r w:rsidR="001735CF">
        <w:rPr>
          <w:rFonts w:ascii="Times New Roman" w:hAnsi="Times New Roman"/>
          <w:sz w:val="24"/>
          <w:szCs w:val="24"/>
          <w:shd w:val="clear" w:color="auto" w:fill="FFFFFF"/>
          <w:lang w:val="en-US"/>
        </w:rPr>
        <w:t xml:space="preserve"> when it comes to burger prices (see table 1for results of study 1and 2).</w:t>
      </w:r>
    </w:p>
    <w:p w:rsidR="001735CF" w:rsidRDefault="001735CF" w:rsidP="001735CF">
      <w:pPr>
        <w:autoSpaceDE w:val="0"/>
        <w:autoSpaceDN w:val="0"/>
        <w:adjustRightInd w:val="0"/>
        <w:spacing w:after="0" w:line="240" w:lineRule="auto"/>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Table 1 Results of Study 1 and 2</w:t>
      </w:r>
    </w:p>
    <w:p w:rsidR="001735CF" w:rsidRDefault="001735CF" w:rsidP="001C49E8">
      <w:pPr>
        <w:autoSpaceDE w:val="0"/>
        <w:autoSpaceDN w:val="0"/>
        <w:adjustRightInd w:val="0"/>
        <w:spacing w:after="0" w:line="240" w:lineRule="auto"/>
        <w:rPr>
          <w:rFonts w:ascii="Times New Roman" w:hAnsi="Times New Roman"/>
          <w:sz w:val="24"/>
          <w:szCs w:val="24"/>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236"/>
        <w:gridCol w:w="1232"/>
        <w:gridCol w:w="1236"/>
        <w:gridCol w:w="1232"/>
        <w:gridCol w:w="1129"/>
        <w:gridCol w:w="1129"/>
        <w:gridCol w:w="1129"/>
      </w:tblGrid>
      <w:tr w:rsidR="001735CF" w:rsidTr="00604611">
        <w:tc>
          <w:tcPr>
            <w:tcW w:w="9576" w:type="dxa"/>
            <w:gridSpan w:val="8"/>
            <w:vAlign w:val="center"/>
          </w:tcPr>
          <w:p w:rsidR="001735CF" w:rsidRPr="005932E0" w:rsidRDefault="001735CF" w:rsidP="00604611">
            <w:pPr>
              <w:jc w:val="center"/>
              <w:rPr>
                <w:b/>
              </w:rPr>
            </w:pPr>
            <w:r w:rsidRPr="005932E0">
              <w:rPr>
                <w:b/>
              </w:rPr>
              <w:t>Meal Domain (17&amp;97)</w:t>
            </w:r>
          </w:p>
        </w:tc>
      </w:tr>
      <w:tr w:rsidR="001735CF" w:rsidTr="00604611">
        <w:tc>
          <w:tcPr>
            <w:tcW w:w="1253" w:type="dxa"/>
            <w:vAlign w:val="center"/>
          </w:tcPr>
          <w:p w:rsidR="001735CF" w:rsidRDefault="001735CF" w:rsidP="00604611">
            <w:pPr>
              <w:jc w:val="center"/>
            </w:pPr>
          </w:p>
        </w:tc>
        <w:tc>
          <w:tcPr>
            <w:tcW w:w="2468" w:type="dxa"/>
            <w:gridSpan w:val="2"/>
            <w:vAlign w:val="center"/>
          </w:tcPr>
          <w:p w:rsidR="001735CF" w:rsidRDefault="001735CF" w:rsidP="00604611">
            <w:pPr>
              <w:jc w:val="center"/>
            </w:pPr>
            <w:r>
              <w:t>Anchor 17</w:t>
            </w:r>
          </w:p>
        </w:tc>
        <w:tc>
          <w:tcPr>
            <w:tcW w:w="2468" w:type="dxa"/>
            <w:gridSpan w:val="2"/>
            <w:vAlign w:val="center"/>
          </w:tcPr>
          <w:p w:rsidR="001735CF" w:rsidRDefault="001735CF" w:rsidP="00604611">
            <w:pPr>
              <w:jc w:val="center"/>
            </w:pPr>
            <w:r>
              <w:t>Anchor 97</w:t>
            </w:r>
          </w:p>
        </w:tc>
        <w:tc>
          <w:tcPr>
            <w:tcW w:w="3387" w:type="dxa"/>
            <w:gridSpan w:val="3"/>
            <w:vAlign w:val="center"/>
          </w:tcPr>
          <w:p w:rsidR="001735CF" w:rsidRDefault="001735CF" w:rsidP="00604611">
            <w:pPr>
              <w:jc w:val="center"/>
            </w:pPr>
            <w:r>
              <w:t>Statistics</w:t>
            </w:r>
          </w:p>
        </w:tc>
      </w:tr>
      <w:tr w:rsidR="001735CF" w:rsidTr="00604611">
        <w:tc>
          <w:tcPr>
            <w:tcW w:w="1253" w:type="dxa"/>
            <w:vAlign w:val="center"/>
          </w:tcPr>
          <w:p w:rsidR="001735CF" w:rsidRPr="005932E0" w:rsidRDefault="001735CF" w:rsidP="00604611">
            <w:pPr>
              <w:jc w:val="center"/>
              <w:rPr>
                <w:b/>
              </w:rPr>
            </w:pPr>
          </w:p>
        </w:tc>
        <w:tc>
          <w:tcPr>
            <w:tcW w:w="1236" w:type="dxa"/>
            <w:vAlign w:val="center"/>
          </w:tcPr>
          <w:p w:rsidR="001735CF" w:rsidRPr="005932E0" w:rsidRDefault="001735CF" w:rsidP="00604611">
            <w:pPr>
              <w:jc w:val="center"/>
              <w:rPr>
                <w:i/>
              </w:rPr>
            </w:pPr>
            <w:r w:rsidRPr="005932E0">
              <w:rPr>
                <w:i/>
              </w:rPr>
              <w:t>Mean WTP</w:t>
            </w:r>
          </w:p>
        </w:tc>
        <w:tc>
          <w:tcPr>
            <w:tcW w:w="1232" w:type="dxa"/>
            <w:vAlign w:val="center"/>
          </w:tcPr>
          <w:p w:rsidR="001735CF" w:rsidRPr="005932E0" w:rsidRDefault="001735CF" w:rsidP="00604611">
            <w:pPr>
              <w:jc w:val="center"/>
              <w:rPr>
                <w:i/>
              </w:rPr>
            </w:pPr>
            <w:r w:rsidRPr="005932E0">
              <w:rPr>
                <w:i/>
              </w:rPr>
              <w:t>SD WTP</w:t>
            </w:r>
          </w:p>
        </w:tc>
        <w:tc>
          <w:tcPr>
            <w:tcW w:w="1236" w:type="dxa"/>
            <w:vAlign w:val="center"/>
          </w:tcPr>
          <w:p w:rsidR="001735CF" w:rsidRPr="005932E0" w:rsidRDefault="001735CF" w:rsidP="00604611">
            <w:pPr>
              <w:jc w:val="center"/>
              <w:rPr>
                <w:i/>
              </w:rPr>
            </w:pPr>
            <w:r w:rsidRPr="005932E0">
              <w:rPr>
                <w:i/>
              </w:rPr>
              <w:t>Mean WTP</w:t>
            </w:r>
          </w:p>
        </w:tc>
        <w:tc>
          <w:tcPr>
            <w:tcW w:w="1232" w:type="dxa"/>
            <w:vAlign w:val="center"/>
          </w:tcPr>
          <w:p w:rsidR="001735CF" w:rsidRPr="005932E0" w:rsidRDefault="001735CF" w:rsidP="00604611">
            <w:pPr>
              <w:jc w:val="center"/>
              <w:rPr>
                <w:i/>
              </w:rPr>
            </w:pPr>
            <w:r w:rsidRPr="005932E0">
              <w:rPr>
                <w:i/>
              </w:rPr>
              <w:t>SD WTP</w:t>
            </w:r>
          </w:p>
        </w:tc>
        <w:tc>
          <w:tcPr>
            <w:tcW w:w="1129" w:type="dxa"/>
            <w:vAlign w:val="center"/>
          </w:tcPr>
          <w:p w:rsidR="001735CF" w:rsidRPr="005932E0" w:rsidRDefault="001735CF" w:rsidP="00604611">
            <w:pPr>
              <w:jc w:val="center"/>
              <w:rPr>
                <w:i/>
              </w:rPr>
            </w:pPr>
            <w:r w:rsidRPr="005932E0">
              <w:rPr>
                <w:i/>
              </w:rPr>
              <w:t>N</w:t>
            </w:r>
          </w:p>
        </w:tc>
        <w:tc>
          <w:tcPr>
            <w:tcW w:w="1129" w:type="dxa"/>
            <w:vAlign w:val="center"/>
          </w:tcPr>
          <w:p w:rsidR="001735CF" w:rsidRPr="005932E0" w:rsidRDefault="001735CF" w:rsidP="00604611">
            <w:pPr>
              <w:jc w:val="center"/>
              <w:rPr>
                <w:i/>
              </w:rPr>
            </w:pPr>
            <w:r w:rsidRPr="005932E0">
              <w:rPr>
                <w:i/>
              </w:rPr>
              <w:t>t</w:t>
            </w:r>
          </w:p>
        </w:tc>
        <w:tc>
          <w:tcPr>
            <w:tcW w:w="1129" w:type="dxa"/>
          </w:tcPr>
          <w:p w:rsidR="001735CF" w:rsidRPr="005932E0" w:rsidRDefault="001735CF" w:rsidP="00604611">
            <w:pPr>
              <w:jc w:val="center"/>
              <w:rPr>
                <w:i/>
              </w:rPr>
            </w:pPr>
            <w:r w:rsidRPr="005932E0">
              <w:rPr>
                <w:i/>
              </w:rPr>
              <w:t>p</w:t>
            </w:r>
          </w:p>
        </w:tc>
      </w:tr>
      <w:tr w:rsidR="001735CF" w:rsidTr="00604611">
        <w:tc>
          <w:tcPr>
            <w:tcW w:w="1253" w:type="dxa"/>
            <w:vAlign w:val="center"/>
          </w:tcPr>
          <w:p w:rsidR="001735CF" w:rsidRPr="005932E0" w:rsidRDefault="001735CF" w:rsidP="00604611">
            <w:pPr>
              <w:jc w:val="center"/>
              <w:rPr>
                <w:b/>
              </w:rPr>
            </w:pPr>
            <w:r w:rsidRPr="005932E0">
              <w:rPr>
                <w:b/>
              </w:rPr>
              <w:t>Meal (1a)</w:t>
            </w:r>
          </w:p>
        </w:tc>
        <w:tc>
          <w:tcPr>
            <w:tcW w:w="1236" w:type="dxa"/>
            <w:vAlign w:val="center"/>
          </w:tcPr>
          <w:p w:rsidR="001735CF" w:rsidRDefault="001735CF" w:rsidP="00604611">
            <w:pPr>
              <w:jc w:val="center"/>
            </w:pPr>
            <w:r>
              <w:t>24.17</w:t>
            </w:r>
          </w:p>
        </w:tc>
        <w:tc>
          <w:tcPr>
            <w:tcW w:w="1232" w:type="dxa"/>
            <w:vAlign w:val="center"/>
          </w:tcPr>
          <w:p w:rsidR="001735CF" w:rsidRDefault="001735CF" w:rsidP="00604611">
            <w:pPr>
              <w:jc w:val="center"/>
            </w:pPr>
            <w:r>
              <w:t>10.32</w:t>
            </w:r>
          </w:p>
        </w:tc>
        <w:tc>
          <w:tcPr>
            <w:tcW w:w="1236" w:type="dxa"/>
            <w:vAlign w:val="center"/>
          </w:tcPr>
          <w:p w:rsidR="001735CF" w:rsidRDefault="001735CF" w:rsidP="00604611">
            <w:pPr>
              <w:jc w:val="center"/>
            </w:pPr>
            <w:r>
              <w:t>33.43</w:t>
            </w:r>
          </w:p>
        </w:tc>
        <w:tc>
          <w:tcPr>
            <w:tcW w:w="1232" w:type="dxa"/>
            <w:vAlign w:val="center"/>
          </w:tcPr>
          <w:p w:rsidR="001735CF" w:rsidRDefault="001735CF" w:rsidP="00604611">
            <w:pPr>
              <w:jc w:val="center"/>
            </w:pPr>
            <w:r>
              <w:t>21.94</w:t>
            </w:r>
          </w:p>
        </w:tc>
        <w:tc>
          <w:tcPr>
            <w:tcW w:w="1129" w:type="dxa"/>
            <w:vAlign w:val="center"/>
          </w:tcPr>
          <w:p w:rsidR="001735CF" w:rsidRDefault="001735CF" w:rsidP="00604611">
            <w:pPr>
              <w:jc w:val="center"/>
            </w:pPr>
            <w:r>
              <w:t>59</w:t>
            </w:r>
          </w:p>
        </w:tc>
        <w:tc>
          <w:tcPr>
            <w:tcW w:w="1129" w:type="dxa"/>
            <w:vAlign w:val="center"/>
          </w:tcPr>
          <w:p w:rsidR="001735CF" w:rsidRDefault="001735CF" w:rsidP="00604611">
            <w:pPr>
              <w:jc w:val="center"/>
            </w:pPr>
            <w:r>
              <w:t>-0.26</w:t>
            </w:r>
          </w:p>
        </w:tc>
        <w:tc>
          <w:tcPr>
            <w:tcW w:w="1129" w:type="dxa"/>
          </w:tcPr>
          <w:p w:rsidR="001735CF" w:rsidRDefault="001735CF" w:rsidP="00604611">
            <w:pPr>
              <w:jc w:val="center"/>
            </w:pPr>
            <w:r>
              <w:t>0.01</w:t>
            </w:r>
          </w:p>
        </w:tc>
      </w:tr>
      <w:tr w:rsidR="001735CF" w:rsidTr="00604611">
        <w:tc>
          <w:tcPr>
            <w:tcW w:w="1253" w:type="dxa"/>
            <w:vAlign w:val="center"/>
          </w:tcPr>
          <w:p w:rsidR="001735CF" w:rsidRPr="005932E0" w:rsidRDefault="001735CF" w:rsidP="00604611">
            <w:pPr>
              <w:jc w:val="center"/>
              <w:rPr>
                <w:b/>
              </w:rPr>
            </w:pPr>
            <w:r w:rsidRPr="005932E0">
              <w:rPr>
                <w:b/>
              </w:rPr>
              <w:t>Burger (1b)</w:t>
            </w:r>
          </w:p>
        </w:tc>
        <w:tc>
          <w:tcPr>
            <w:tcW w:w="1236" w:type="dxa"/>
            <w:vAlign w:val="center"/>
          </w:tcPr>
          <w:p w:rsidR="001735CF" w:rsidRDefault="001735CF" w:rsidP="00604611">
            <w:pPr>
              <w:jc w:val="center"/>
            </w:pPr>
            <w:r>
              <w:t>8.40</w:t>
            </w:r>
          </w:p>
        </w:tc>
        <w:tc>
          <w:tcPr>
            <w:tcW w:w="1232" w:type="dxa"/>
            <w:vAlign w:val="center"/>
          </w:tcPr>
          <w:p w:rsidR="001735CF" w:rsidRDefault="001735CF" w:rsidP="00604611">
            <w:pPr>
              <w:jc w:val="center"/>
            </w:pPr>
            <w:r>
              <w:t>3.62</w:t>
            </w:r>
          </w:p>
        </w:tc>
        <w:tc>
          <w:tcPr>
            <w:tcW w:w="1236" w:type="dxa"/>
            <w:vAlign w:val="center"/>
          </w:tcPr>
          <w:p w:rsidR="001735CF" w:rsidRDefault="001735CF" w:rsidP="00604611">
            <w:pPr>
              <w:jc w:val="center"/>
            </w:pPr>
            <w:r>
              <w:t>6.24</w:t>
            </w:r>
          </w:p>
        </w:tc>
        <w:tc>
          <w:tcPr>
            <w:tcW w:w="1232" w:type="dxa"/>
            <w:vAlign w:val="center"/>
          </w:tcPr>
          <w:p w:rsidR="001735CF" w:rsidRDefault="001735CF" w:rsidP="00604611">
            <w:pPr>
              <w:jc w:val="center"/>
            </w:pPr>
            <w:r>
              <w:t>3.78</w:t>
            </w:r>
          </w:p>
        </w:tc>
        <w:tc>
          <w:tcPr>
            <w:tcW w:w="1129" w:type="dxa"/>
            <w:vAlign w:val="center"/>
          </w:tcPr>
          <w:p w:rsidR="001735CF" w:rsidRDefault="001735CF" w:rsidP="00604611">
            <w:pPr>
              <w:jc w:val="center"/>
            </w:pPr>
            <w:r>
              <w:t>80</w:t>
            </w:r>
          </w:p>
        </w:tc>
        <w:tc>
          <w:tcPr>
            <w:tcW w:w="1129" w:type="dxa"/>
            <w:vAlign w:val="center"/>
          </w:tcPr>
          <w:p w:rsidR="001735CF" w:rsidRDefault="001735CF" w:rsidP="00604611">
            <w:pPr>
              <w:jc w:val="center"/>
            </w:pPr>
            <w:r>
              <w:t>2.59</w:t>
            </w:r>
          </w:p>
        </w:tc>
        <w:tc>
          <w:tcPr>
            <w:tcW w:w="1129" w:type="dxa"/>
          </w:tcPr>
          <w:p w:rsidR="001735CF" w:rsidRDefault="001735CF" w:rsidP="00604611">
            <w:pPr>
              <w:jc w:val="center"/>
            </w:pPr>
            <w:r>
              <w:t>0.01</w:t>
            </w:r>
          </w:p>
        </w:tc>
      </w:tr>
      <w:tr w:rsidR="001735CF" w:rsidRPr="005572E8" w:rsidTr="00604611">
        <w:tc>
          <w:tcPr>
            <w:tcW w:w="9576" w:type="dxa"/>
            <w:gridSpan w:val="8"/>
            <w:vAlign w:val="center"/>
          </w:tcPr>
          <w:p w:rsidR="001735CF" w:rsidRPr="005932E0" w:rsidRDefault="001735CF" w:rsidP="00604611">
            <w:pPr>
              <w:jc w:val="center"/>
              <w:rPr>
                <w:b/>
              </w:rPr>
            </w:pPr>
            <w:r w:rsidRPr="005932E0">
              <w:rPr>
                <w:b/>
              </w:rPr>
              <w:t>Hamburger Domain (099&amp;1999)</w:t>
            </w:r>
          </w:p>
        </w:tc>
      </w:tr>
      <w:tr w:rsidR="001735CF" w:rsidTr="00604611">
        <w:tc>
          <w:tcPr>
            <w:tcW w:w="1253" w:type="dxa"/>
            <w:vAlign w:val="center"/>
          </w:tcPr>
          <w:p w:rsidR="001735CF" w:rsidRPr="005932E0" w:rsidRDefault="001735CF" w:rsidP="00604611">
            <w:pPr>
              <w:jc w:val="center"/>
              <w:rPr>
                <w:b/>
              </w:rPr>
            </w:pPr>
          </w:p>
        </w:tc>
        <w:tc>
          <w:tcPr>
            <w:tcW w:w="2468" w:type="dxa"/>
            <w:gridSpan w:val="2"/>
            <w:vAlign w:val="center"/>
          </w:tcPr>
          <w:p w:rsidR="001735CF" w:rsidRDefault="001735CF" w:rsidP="00604611">
            <w:pPr>
              <w:jc w:val="center"/>
            </w:pPr>
            <w:r>
              <w:t>Anchor 099</w:t>
            </w:r>
          </w:p>
        </w:tc>
        <w:tc>
          <w:tcPr>
            <w:tcW w:w="2468" w:type="dxa"/>
            <w:gridSpan w:val="2"/>
            <w:vAlign w:val="center"/>
          </w:tcPr>
          <w:p w:rsidR="001735CF" w:rsidRDefault="001735CF" w:rsidP="00604611">
            <w:pPr>
              <w:jc w:val="center"/>
            </w:pPr>
            <w:r>
              <w:t>Anchor 1999</w:t>
            </w:r>
          </w:p>
        </w:tc>
        <w:tc>
          <w:tcPr>
            <w:tcW w:w="3387" w:type="dxa"/>
            <w:gridSpan w:val="3"/>
            <w:vAlign w:val="center"/>
          </w:tcPr>
          <w:p w:rsidR="001735CF" w:rsidRDefault="001735CF" w:rsidP="00604611">
            <w:pPr>
              <w:jc w:val="center"/>
            </w:pPr>
            <w:r>
              <w:t>Statistics</w:t>
            </w:r>
          </w:p>
        </w:tc>
      </w:tr>
      <w:tr w:rsidR="001735CF" w:rsidTr="00604611">
        <w:tc>
          <w:tcPr>
            <w:tcW w:w="1253" w:type="dxa"/>
            <w:vAlign w:val="center"/>
          </w:tcPr>
          <w:p w:rsidR="001735CF" w:rsidRPr="005932E0" w:rsidRDefault="001735CF" w:rsidP="00604611">
            <w:pPr>
              <w:jc w:val="center"/>
              <w:rPr>
                <w:b/>
              </w:rPr>
            </w:pPr>
          </w:p>
        </w:tc>
        <w:tc>
          <w:tcPr>
            <w:tcW w:w="1236" w:type="dxa"/>
            <w:vAlign w:val="center"/>
          </w:tcPr>
          <w:p w:rsidR="001735CF" w:rsidRPr="005932E0" w:rsidRDefault="001735CF" w:rsidP="00604611">
            <w:pPr>
              <w:jc w:val="center"/>
              <w:rPr>
                <w:i/>
              </w:rPr>
            </w:pPr>
            <w:r w:rsidRPr="005932E0">
              <w:rPr>
                <w:i/>
              </w:rPr>
              <w:t>Mean WTP</w:t>
            </w:r>
          </w:p>
        </w:tc>
        <w:tc>
          <w:tcPr>
            <w:tcW w:w="1232" w:type="dxa"/>
            <w:vAlign w:val="center"/>
          </w:tcPr>
          <w:p w:rsidR="001735CF" w:rsidRPr="005932E0" w:rsidRDefault="001735CF" w:rsidP="00604611">
            <w:pPr>
              <w:jc w:val="center"/>
              <w:rPr>
                <w:i/>
              </w:rPr>
            </w:pPr>
            <w:r w:rsidRPr="005932E0">
              <w:rPr>
                <w:i/>
              </w:rPr>
              <w:t>SD WTP</w:t>
            </w:r>
          </w:p>
        </w:tc>
        <w:tc>
          <w:tcPr>
            <w:tcW w:w="1236" w:type="dxa"/>
            <w:vAlign w:val="center"/>
          </w:tcPr>
          <w:p w:rsidR="001735CF" w:rsidRPr="005932E0" w:rsidRDefault="001735CF" w:rsidP="00604611">
            <w:pPr>
              <w:jc w:val="center"/>
              <w:rPr>
                <w:i/>
              </w:rPr>
            </w:pPr>
            <w:r w:rsidRPr="005932E0">
              <w:rPr>
                <w:i/>
              </w:rPr>
              <w:t>Mean WTP</w:t>
            </w:r>
          </w:p>
        </w:tc>
        <w:tc>
          <w:tcPr>
            <w:tcW w:w="1232" w:type="dxa"/>
            <w:vAlign w:val="center"/>
          </w:tcPr>
          <w:p w:rsidR="001735CF" w:rsidRPr="005932E0" w:rsidRDefault="001735CF" w:rsidP="00604611">
            <w:pPr>
              <w:jc w:val="center"/>
              <w:rPr>
                <w:i/>
              </w:rPr>
            </w:pPr>
            <w:r w:rsidRPr="005932E0">
              <w:rPr>
                <w:i/>
              </w:rPr>
              <w:t>SD WTP</w:t>
            </w:r>
          </w:p>
        </w:tc>
        <w:tc>
          <w:tcPr>
            <w:tcW w:w="1129" w:type="dxa"/>
            <w:vAlign w:val="center"/>
          </w:tcPr>
          <w:p w:rsidR="001735CF" w:rsidRPr="005932E0" w:rsidRDefault="001735CF" w:rsidP="00604611">
            <w:pPr>
              <w:jc w:val="center"/>
              <w:rPr>
                <w:i/>
              </w:rPr>
            </w:pPr>
            <w:r w:rsidRPr="005932E0">
              <w:rPr>
                <w:i/>
              </w:rPr>
              <w:t>N</w:t>
            </w:r>
          </w:p>
        </w:tc>
        <w:tc>
          <w:tcPr>
            <w:tcW w:w="1129" w:type="dxa"/>
            <w:vAlign w:val="center"/>
          </w:tcPr>
          <w:p w:rsidR="001735CF" w:rsidRPr="005932E0" w:rsidRDefault="001735CF" w:rsidP="00604611">
            <w:pPr>
              <w:jc w:val="center"/>
              <w:rPr>
                <w:i/>
              </w:rPr>
            </w:pPr>
            <w:r w:rsidRPr="005932E0">
              <w:rPr>
                <w:i/>
              </w:rPr>
              <w:t>t</w:t>
            </w:r>
          </w:p>
        </w:tc>
        <w:tc>
          <w:tcPr>
            <w:tcW w:w="1129" w:type="dxa"/>
          </w:tcPr>
          <w:p w:rsidR="001735CF" w:rsidRPr="005932E0" w:rsidRDefault="001735CF" w:rsidP="00604611">
            <w:pPr>
              <w:jc w:val="center"/>
              <w:rPr>
                <w:i/>
              </w:rPr>
            </w:pPr>
            <w:r w:rsidRPr="005932E0">
              <w:rPr>
                <w:i/>
              </w:rPr>
              <w:t>p</w:t>
            </w:r>
          </w:p>
        </w:tc>
      </w:tr>
      <w:tr w:rsidR="001735CF" w:rsidTr="00604611">
        <w:tc>
          <w:tcPr>
            <w:tcW w:w="1253" w:type="dxa"/>
            <w:vAlign w:val="center"/>
          </w:tcPr>
          <w:p w:rsidR="001735CF" w:rsidRPr="005932E0" w:rsidRDefault="001735CF" w:rsidP="00604611">
            <w:pPr>
              <w:jc w:val="center"/>
              <w:rPr>
                <w:b/>
              </w:rPr>
            </w:pPr>
            <w:r w:rsidRPr="005932E0">
              <w:rPr>
                <w:b/>
              </w:rPr>
              <w:t>Meal (2a)</w:t>
            </w:r>
          </w:p>
        </w:tc>
        <w:tc>
          <w:tcPr>
            <w:tcW w:w="1236" w:type="dxa"/>
            <w:vAlign w:val="center"/>
          </w:tcPr>
          <w:p w:rsidR="001735CF" w:rsidRDefault="001735CF" w:rsidP="00604611">
            <w:pPr>
              <w:jc w:val="center"/>
            </w:pPr>
            <w:r>
              <w:t>41.15</w:t>
            </w:r>
          </w:p>
        </w:tc>
        <w:tc>
          <w:tcPr>
            <w:tcW w:w="1232" w:type="dxa"/>
            <w:vAlign w:val="center"/>
          </w:tcPr>
          <w:p w:rsidR="001735CF" w:rsidRDefault="001735CF" w:rsidP="00604611">
            <w:pPr>
              <w:jc w:val="center"/>
            </w:pPr>
            <w:r>
              <w:t>35.71</w:t>
            </w:r>
          </w:p>
        </w:tc>
        <w:tc>
          <w:tcPr>
            <w:tcW w:w="1236" w:type="dxa"/>
            <w:vAlign w:val="center"/>
          </w:tcPr>
          <w:p w:rsidR="001735CF" w:rsidRDefault="001735CF" w:rsidP="00604611">
            <w:pPr>
              <w:jc w:val="center"/>
            </w:pPr>
            <w:r>
              <w:t>28.08</w:t>
            </w:r>
          </w:p>
        </w:tc>
        <w:tc>
          <w:tcPr>
            <w:tcW w:w="1232" w:type="dxa"/>
            <w:vAlign w:val="center"/>
          </w:tcPr>
          <w:p w:rsidR="001735CF" w:rsidRDefault="001735CF" w:rsidP="00604611">
            <w:pPr>
              <w:jc w:val="center"/>
            </w:pPr>
            <w:r>
              <w:t>10.96</w:t>
            </w:r>
          </w:p>
        </w:tc>
        <w:tc>
          <w:tcPr>
            <w:tcW w:w="1129" w:type="dxa"/>
            <w:vAlign w:val="center"/>
          </w:tcPr>
          <w:p w:rsidR="001735CF" w:rsidRDefault="001735CF" w:rsidP="00604611">
            <w:pPr>
              <w:jc w:val="center"/>
            </w:pPr>
            <w:r>
              <w:t>44</w:t>
            </w:r>
          </w:p>
        </w:tc>
        <w:tc>
          <w:tcPr>
            <w:tcW w:w="1129" w:type="dxa"/>
            <w:vAlign w:val="center"/>
          </w:tcPr>
          <w:p w:rsidR="001735CF" w:rsidRDefault="001735CF" w:rsidP="00604611">
            <w:pPr>
              <w:jc w:val="center"/>
            </w:pPr>
            <w:r>
              <w:t>1.70</w:t>
            </w:r>
          </w:p>
        </w:tc>
        <w:tc>
          <w:tcPr>
            <w:tcW w:w="1129" w:type="dxa"/>
          </w:tcPr>
          <w:p w:rsidR="001735CF" w:rsidRDefault="001735CF" w:rsidP="00604611">
            <w:pPr>
              <w:jc w:val="center"/>
            </w:pPr>
            <w:r>
              <w:t>0.09</w:t>
            </w:r>
          </w:p>
        </w:tc>
      </w:tr>
      <w:tr w:rsidR="001735CF" w:rsidTr="00604611">
        <w:tc>
          <w:tcPr>
            <w:tcW w:w="1253" w:type="dxa"/>
            <w:vAlign w:val="center"/>
          </w:tcPr>
          <w:p w:rsidR="001735CF" w:rsidRPr="005932E0" w:rsidRDefault="001735CF" w:rsidP="00604611">
            <w:pPr>
              <w:jc w:val="center"/>
              <w:rPr>
                <w:b/>
              </w:rPr>
            </w:pPr>
            <w:r w:rsidRPr="005932E0">
              <w:rPr>
                <w:b/>
              </w:rPr>
              <w:t>Burger (2b)</w:t>
            </w:r>
          </w:p>
        </w:tc>
        <w:tc>
          <w:tcPr>
            <w:tcW w:w="1236" w:type="dxa"/>
            <w:vAlign w:val="center"/>
          </w:tcPr>
          <w:p w:rsidR="001735CF" w:rsidRDefault="001735CF" w:rsidP="00604611">
            <w:pPr>
              <w:jc w:val="center"/>
            </w:pPr>
            <w:r>
              <w:t>5.33</w:t>
            </w:r>
          </w:p>
        </w:tc>
        <w:tc>
          <w:tcPr>
            <w:tcW w:w="1232" w:type="dxa"/>
            <w:vAlign w:val="center"/>
          </w:tcPr>
          <w:p w:rsidR="001735CF" w:rsidRDefault="001735CF" w:rsidP="00604611">
            <w:pPr>
              <w:jc w:val="center"/>
            </w:pPr>
            <w:r>
              <w:t>2.94</w:t>
            </w:r>
          </w:p>
        </w:tc>
        <w:tc>
          <w:tcPr>
            <w:tcW w:w="1236" w:type="dxa"/>
            <w:vAlign w:val="center"/>
          </w:tcPr>
          <w:p w:rsidR="001735CF" w:rsidRDefault="001735CF" w:rsidP="00604611">
            <w:pPr>
              <w:jc w:val="center"/>
            </w:pPr>
            <w:r>
              <w:t>6.56</w:t>
            </w:r>
          </w:p>
        </w:tc>
        <w:tc>
          <w:tcPr>
            <w:tcW w:w="1232" w:type="dxa"/>
            <w:vAlign w:val="center"/>
          </w:tcPr>
          <w:p w:rsidR="001735CF" w:rsidRDefault="001735CF" w:rsidP="00604611">
            <w:pPr>
              <w:jc w:val="center"/>
            </w:pPr>
            <w:r>
              <w:t>2.00</w:t>
            </w:r>
          </w:p>
        </w:tc>
        <w:tc>
          <w:tcPr>
            <w:tcW w:w="1129" w:type="dxa"/>
            <w:vAlign w:val="center"/>
          </w:tcPr>
          <w:p w:rsidR="001735CF" w:rsidRDefault="001735CF" w:rsidP="00604611">
            <w:pPr>
              <w:jc w:val="center"/>
            </w:pPr>
            <w:r>
              <w:t>72</w:t>
            </w:r>
          </w:p>
        </w:tc>
        <w:tc>
          <w:tcPr>
            <w:tcW w:w="1129" w:type="dxa"/>
            <w:vAlign w:val="center"/>
          </w:tcPr>
          <w:p w:rsidR="001735CF" w:rsidRDefault="001735CF" w:rsidP="00604611">
            <w:pPr>
              <w:jc w:val="center"/>
            </w:pPr>
            <w:r>
              <w:t>-1.96</w:t>
            </w:r>
          </w:p>
        </w:tc>
        <w:tc>
          <w:tcPr>
            <w:tcW w:w="1129" w:type="dxa"/>
          </w:tcPr>
          <w:p w:rsidR="001735CF" w:rsidRDefault="001735CF" w:rsidP="00604611">
            <w:pPr>
              <w:jc w:val="center"/>
            </w:pPr>
            <w:r>
              <w:t>0.01</w:t>
            </w:r>
          </w:p>
        </w:tc>
      </w:tr>
    </w:tbl>
    <w:p w:rsidR="00683DBC" w:rsidRDefault="00683DBC" w:rsidP="001735CF">
      <w:pPr>
        <w:autoSpaceDE w:val="0"/>
        <w:autoSpaceDN w:val="0"/>
        <w:adjustRightInd w:val="0"/>
        <w:spacing w:after="0" w:line="240" w:lineRule="auto"/>
        <w:rPr>
          <w:rFonts w:ascii="Times New Roman" w:hAnsi="Times New Roman"/>
          <w:sz w:val="24"/>
          <w:szCs w:val="24"/>
          <w:shd w:val="clear" w:color="auto" w:fill="FFFFFF"/>
          <w:lang w:val="en-US"/>
        </w:rPr>
      </w:pPr>
    </w:p>
    <w:p w:rsidR="00683DBC" w:rsidRPr="000164A0" w:rsidRDefault="000164A0" w:rsidP="000164A0">
      <w:pPr>
        <w:autoSpaceDE w:val="0"/>
        <w:autoSpaceDN w:val="0"/>
        <w:adjustRightInd w:val="0"/>
        <w:spacing w:after="0" w:line="240" w:lineRule="auto"/>
        <w:ind w:firstLine="708"/>
        <w:jc w:val="center"/>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CONCLUSION</w:t>
      </w:r>
    </w:p>
    <w:p w:rsidR="00683DBC" w:rsidRPr="00724F42" w:rsidRDefault="00683DBC" w:rsidP="009C738D">
      <w:pPr>
        <w:spacing w:line="240" w:lineRule="auto"/>
        <w:ind w:firstLine="708"/>
        <w:rPr>
          <w:rFonts w:ascii="Times New Roman" w:hAnsi="Times New Roman"/>
          <w:sz w:val="24"/>
          <w:szCs w:val="24"/>
          <w:lang w:val="en-US" w:eastAsia="ja-JP"/>
        </w:rPr>
      </w:pPr>
      <w:r w:rsidRPr="00724F42">
        <w:rPr>
          <w:rFonts w:ascii="Times New Roman" w:hAnsi="Times New Roman"/>
          <w:sz w:val="24"/>
          <w:szCs w:val="24"/>
          <w:shd w:val="clear" w:color="auto" w:fill="FFFFFF"/>
          <w:lang w:val="en-US"/>
        </w:rPr>
        <w:t xml:space="preserve">Taken together, the results from this study along with previous studies provide strong support for our theorizing and hypothesized effects. Importantly, we find that consumers employ random numbers in their environment to make numerical valuations. The same numbers, however, may refer to different values depending on the context. Though unconsciously, consumers tend to alter, distort and finally adapt these numbers to make them reasonable prices for a given product category. </w:t>
      </w:r>
    </w:p>
    <w:p w:rsidR="00683DBC" w:rsidRDefault="00683DBC" w:rsidP="009C738D">
      <w:pPr>
        <w:spacing w:line="240" w:lineRule="auto"/>
        <w:ind w:firstLine="708"/>
        <w:rPr>
          <w:rFonts w:ascii="Times New Roman" w:hAnsi="Times New Roman"/>
          <w:sz w:val="24"/>
          <w:szCs w:val="24"/>
          <w:shd w:val="clear" w:color="auto" w:fill="FFFFFF"/>
          <w:lang w:val="en-US"/>
        </w:rPr>
      </w:pPr>
      <w:r w:rsidRPr="00724F42">
        <w:rPr>
          <w:rFonts w:ascii="Times New Roman" w:hAnsi="Times New Roman"/>
          <w:sz w:val="24"/>
          <w:szCs w:val="24"/>
          <w:shd w:val="clear" w:color="auto" w:fill="FFFFFF"/>
          <w:lang w:val="en-US"/>
        </w:rPr>
        <w:t xml:space="preserve">These findings have several important managerial implications. First, right numbers must be selected to create intended anchoring effects. </w:t>
      </w:r>
      <w:r>
        <w:rPr>
          <w:rFonts w:ascii="Times New Roman" w:hAnsi="Times New Roman"/>
          <w:sz w:val="24"/>
          <w:szCs w:val="24"/>
          <w:shd w:val="clear" w:color="auto" w:fill="FFFFFF"/>
          <w:lang w:val="en-US"/>
        </w:rPr>
        <w:t xml:space="preserve">Consumers have ranges of acceptable numbers especially when it comes to product prices with which they have some familiarity, and only numbers within this range are potential right numbers. </w:t>
      </w:r>
      <w:r w:rsidRPr="00724F42">
        <w:rPr>
          <w:rFonts w:ascii="Times New Roman" w:hAnsi="Times New Roman"/>
          <w:sz w:val="24"/>
          <w:szCs w:val="24"/>
          <w:shd w:val="clear" w:color="auto" w:fill="FFFFFF"/>
          <w:lang w:val="en-US"/>
        </w:rPr>
        <w:t>Second,</w:t>
      </w:r>
      <w:r>
        <w:rPr>
          <w:rFonts w:ascii="Times New Roman" w:hAnsi="Times New Roman"/>
          <w:sz w:val="24"/>
          <w:szCs w:val="24"/>
          <w:shd w:val="clear" w:color="auto" w:fill="FFFFFF"/>
          <w:lang w:val="en-US"/>
        </w:rPr>
        <w:t xml:space="preserve"> it is highly likely that an intended anchor may change unit in the customer's perception, and end up working as an anchor in the undesired direction.  As our empirical work demonstrates, 17 is a better anchor for profit maximization than 97 in a burger domain whereas the reverse is true in a meal domain.  Similarly, 099 is a better anchor for profit maximization than 1999 in a meal domain whereas the reverse is true in a burger domain, that is</w:t>
      </w:r>
      <w:r w:rsidR="00AA1ECA">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the WTP is higher when 1999 is used rather than 099. </w:t>
      </w:r>
    </w:p>
    <w:p w:rsidR="00683DBC" w:rsidRPr="00360970" w:rsidRDefault="00683DBC" w:rsidP="009C738D">
      <w:pPr>
        <w:spacing w:line="240" w:lineRule="auto"/>
        <w:ind w:firstLine="706"/>
        <w:rPr>
          <w:rFonts w:ascii="Times New Roman" w:hAnsi="Times New Roman"/>
          <w:color w:val="010101"/>
          <w:sz w:val="24"/>
          <w:szCs w:val="24"/>
          <w:lang w:val="en-US" w:eastAsia="ja-JP"/>
        </w:rPr>
      </w:pPr>
      <w:r>
        <w:rPr>
          <w:rFonts w:ascii="Times New Roman" w:hAnsi="Times New Roman"/>
          <w:sz w:val="24"/>
          <w:szCs w:val="24"/>
          <w:shd w:val="clear" w:color="auto" w:fill="FFFFFF"/>
          <w:lang w:val="en-US"/>
        </w:rPr>
        <w:t>To build on thi</w:t>
      </w:r>
      <w:r w:rsidR="00FB6E89">
        <w:rPr>
          <w:rFonts w:ascii="Times New Roman" w:hAnsi="Times New Roman"/>
          <w:sz w:val="24"/>
          <w:szCs w:val="24"/>
          <w:shd w:val="clear" w:color="auto" w:fill="FFFFFF"/>
          <w:lang w:val="en-US"/>
        </w:rPr>
        <w:t>s example further, we also carried</w:t>
      </w:r>
      <w:r>
        <w:rPr>
          <w:rFonts w:ascii="Times New Roman" w:hAnsi="Times New Roman"/>
          <w:sz w:val="24"/>
          <w:szCs w:val="24"/>
          <w:shd w:val="clear" w:color="auto" w:fill="FFFFFF"/>
          <w:lang w:val="en-US"/>
        </w:rPr>
        <w:t xml:space="preserve"> out an exploratory study which we report here briefly where we consider anchors 1999, 2999, 3999 and 4999 in a burger domain (N=329)</w:t>
      </w:r>
      <w:r w:rsidR="000B42BB">
        <w:rPr>
          <w:rFonts w:ascii="Times New Roman" w:hAnsi="Times New Roman"/>
          <w:sz w:val="24"/>
          <w:szCs w:val="24"/>
          <w:shd w:val="clear" w:color="auto" w:fill="FFFFFF"/>
          <w:lang w:val="en-US"/>
        </w:rPr>
        <w:t xml:space="preserve"> as in Study 2b</w:t>
      </w:r>
      <w:r>
        <w:rPr>
          <w:rFonts w:ascii="Times New Roman" w:hAnsi="Times New Roman"/>
          <w:sz w:val="24"/>
          <w:szCs w:val="24"/>
          <w:shd w:val="clear" w:color="auto" w:fill="FFFFFF"/>
          <w:lang w:val="en-US"/>
        </w:rPr>
        <w:t xml:space="preserve"> . Although the numbers 1999, 2999, 3999 and 4999 are increasing nominally, these numbers are consecutively further away from the acceptable range of prices. Hence, our findings in the previous studies suggest that the larger numbers are more likely to </w:t>
      </w:r>
      <w:r w:rsidR="000B42BB">
        <w:rPr>
          <w:rFonts w:ascii="Times New Roman" w:hAnsi="Times New Roman"/>
          <w:sz w:val="24"/>
          <w:szCs w:val="24"/>
          <w:shd w:val="clear" w:color="auto" w:fill="FFFFFF"/>
          <w:lang w:val="en-US"/>
        </w:rPr>
        <w:t>operate</w:t>
      </w:r>
      <w:r>
        <w:rPr>
          <w:rFonts w:ascii="Times New Roman" w:hAnsi="Times New Roman"/>
          <w:sz w:val="24"/>
          <w:szCs w:val="24"/>
          <w:shd w:val="clear" w:color="auto" w:fill="FFFFFF"/>
          <w:lang w:val="en-US"/>
        </w:rPr>
        <w:t xml:space="preserve"> as less than $10 compared to more than $10</w:t>
      </w:r>
      <w:r w:rsidR="000B42BB">
        <w:rPr>
          <w:rFonts w:ascii="Times New Roman" w:hAnsi="Times New Roman"/>
          <w:sz w:val="24"/>
          <w:szCs w:val="24"/>
          <w:shd w:val="clear" w:color="auto" w:fill="FFFFFF"/>
          <w:lang w:val="en-US"/>
        </w:rPr>
        <w:t xml:space="preserve"> in an anchoring context</w:t>
      </w:r>
      <w:r>
        <w:rPr>
          <w:rFonts w:ascii="Times New Roman" w:hAnsi="Times New Roman"/>
          <w:sz w:val="24"/>
          <w:szCs w:val="24"/>
          <w:shd w:val="clear" w:color="auto" w:fill="FFFFFF"/>
          <w:lang w:val="en-US"/>
        </w:rPr>
        <w:t>. Hence, 4999 is more likely to be perceived as $4.99 rather than $49.99, especially when compared to 3999 ($3.99 vs. $39.99) or 2999 ($2.99 vs. $29.99). Our empirical study lends some support for this</w:t>
      </w:r>
      <w:r w:rsidR="000B42BB">
        <w:rPr>
          <w:rFonts w:ascii="Times New Roman" w:hAnsi="Times New Roman"/>
          <w:sz w:val="24"/>
          <w:szCs w:val="24"/>
          <w:shd w:val="clear" w:color="auto" w:fill="FFFFFF"/>
          <w:lang w:val="en-US"/>
        </w:rPr>
        <w:t xml:space="preserve"> prediction</w:t>
      </w:r>
      <w:r>
        <w:rPr>
          <w:rFonts w:ascii="Times New Roman" w:hAnsi="Times New Roman"/>
          <w:sz w:val="24"/>
          <w:szCs w:val="24"/>
          <w:shd w:val="clear" w:color="auto" w:fill="FFFFFF"/>
          <w:lang w:val="en-US"/>
        </w:rPr>
        <w:t>.</w:t>
      </w:r>
      <w:r w:rsidR="00FB6E89">
        <w:rPr>
          <w:rFonts w:ascii="Times New Roman" w:hAnsi="Times New Roman"/>
          <w:sz w:val="24"/>
          <w:szCs w:val="24"/>
          <w:shd w:val="clear" w:color="auto" w:fill="FFFFFF"/>
          <w:lang w:val="en-US"/>
        </w:rPr>
        <w:t xml:space="preserve"> Although the differences are marginally </w:t>
      </w:r>
      <w:r>
        <w:rPr>
          <w:rFonts w:ascii="Times New Roman" w:hAnsi="Times New Roman"/>
          <w:sz w:val="24"/>
          <w:szCs w:val="24"/>
          <w:shd w:val="clear" w:color="auto" w:fill="FFFFFF"/>
          <w:lang w:val="en-US"/>
        </w:rPr>
        <w:t xml:space="preserve">significant, there seems to be </w:t>
      </w:r>
      <w:r w:rsidR="00FB6E89">
        <w:rPr>
          <w:rFonts w:ascii="Times New Roman" w:hAnsi="Times New Roman"/>
          <w:sz w:val="24"/>
          <w:szCs w:val="24"/>
          <w:shd w:val="clear" w:color="auto" w:fill="FFFFFF"/>
          <w:lang w:val="en-US"/>
        </w:rPr>
        <w:t xml:space="preserve">a </w:t>
      </w:r>
      <w:r>
        <w:rPr>
          <w:rFonts w:ascii="Times New Roman" w:hAnsi="Times New Roman"/>
          <w:sz w:val="24"/>
          <w:szCs w:val="24"/>
          <w:shd w:val="clear" w:color="auto" w:fill="FFFFFF"/>
          <w:lang w:val="en-US"/>
        </w:rPr>
        <w:t xml:space="preserve">trend in the expected direction. </w:t>
      </w:r>
      <w:r w:rsidR="000B42BB">
        <w:rPr>
          <w:rFonts w:ascii="Times New Roman" w:hAnsi="Times New Roman"/>
          <w:sz w:val="24"/>
          <w:szCs w:val="24"/>
          <w:shd w:val="clear" w:color="auto" w:fill="FFFFFF"/>
          <w:lang w:val="en-US"/>
        </w:rPr>
        <w:t xml:space="preserve">The mean (and SD) of WTP for anchors 1999, 2999, 3999 and 4999 are 7.70 (2.83), 7.17 (3.37), 7.23 (5.81) and 6.83 (4.01). </w:t>
      </w:r>
      <w:r>
        <w:rPr>
          <w:rFonts w:ascii="Times New Roman" w:hAnsi="Times New Roman"/>
          <w:sz w:val="24"/>
          <w:szCs w:val="24"/>
          <w:shd w:val="clear" w:color="auto" w:fill="FFFFFF"/>
          <w:lang w:val="en-US"/>
        </w:rPr>
        <w:t>Hence, although 2999 to 4999 may seem like better anchors for profit maximization, consumers' adaption of context dependent perceived prices in the range of $2.99 to $4.99 lead to a decrease in reported WTP. To conclude, we can claim that there are potentially worse anchors in the right direction that practitioners must watch for when choosing numbers to be used in marketing activities.</w:t>
      </w:r>
      <w:r w:rsidRPr="00724F42">
        <w:rPr>
          <w:rFonts w:ascii="Times New Roman" w:hAnsi="Times New Roman"/>
          <w:color w:val="010101"/>
          <w:sz w:val="24"/>
          <w:szCs w:val="24"/>
          <w:lang w:val="en-US" w:eastAsia="ja-JP"/>
        </w:rPr>
        <w:t xml:space="preserve"> </w:t>
      </w:r>
    </w:p>
    <w:p w:rsidR="00FB6E89" w:rsidRDefault="00FB6E89" w:rsidP="001C49E8">
      <w:pPr>
        <w:spacing w:line="240" w:lineRule="auto"/>
        <w:rPr>
          <w:rFonts w:ascii="Times New Roman" w:hAnsi="Times New Roman"/>
          <w:sz w:val="24"/>
          <w:szCs w:val="24"/>
          <w:lang w:val="en-US"/>
        </w:rPr>
      </w:pPr>
    </w:p>
    <w:p w:rsidR="000164A0" w:rsidRDefault="000164A0" w:rsidP="000164A0">
      <w:pPr>
        <w:autoSpaceDE w:val="0"/>
        <w:autoSpaceDN w:val="0"/>
        <w:adjustRightInd w:val="0"/>
        <w:spacing w:after="0" w:line="240" w:lineRule="auto"/>
        <w:ind w:left="706" w:hanging="706"/>
        <w:jc w:val="center"/>
        <w:rPr>
          <w:rFonts w:ascii="Times New Roman" w:hAnsi="Times New Roman"/>
          <w:b/>
          <w:sz w:val="24"/>
          <w:szCs w:val="24"/>
          <w:lang w:val="en-US"/>
        </w:rPr>
      </w:pPr>
      <w:r>
        <w:rPr>
          <w:rFonts w:ascii="Times New Roman" w:hAnsi="Times New Roman"/>
          <w:b/>
          <w:sz w:val="24"/>
          <w:szCs w:val="24"/>
          <w:lang w:val="en-US"/>
        </w:rPr>
        <w:t>REFERENCES</w:t>
      </w:r>
    </w:p>
    <w:p w:rsidR="00D4118B" w:rsidRDefault="00D4118B" w:rsidP="000164A0">
      <w:pPr>
        <w:autoSpaceDE w:val="0"/>
        <w:autoSpaceDN w:val="0"/>
        <w:adjustRightInd w:val="0"/>
        <w:spacing w:after="0" w:line="240" w:lineRule="auto"/>
        <w:ind w:left="706" w:hanging="706"/>
        <w:jc w:val="center"/>
        <w:rPr>
          <w:rFonts w:ascii="Times New Roman" w:hAnsi="Times New Roman"/>
          <w:b/>
          <w:sz w:val="24"/>
          <w:szCs w:val="24"/>
          <w:lang w:val="en-US"/>
        </w:rPr>
      </w:pPr>
    </w:p>
    <w:p w:rsidR="00683DBC" w:rsidRPr="00F376AA" w:rsidRDefault="00683DBC" w:rsidP="001C49E8">
      <w:pPr>
        <w:autoSpaceDE w:val="0"/>
        <w:autoSpaceDN w:val="0"/>
        <w:adjustRightInd w:val="0"/>
        <w:spacing w:after="0" w:line="240" w:lineRule="auto"/>
        <w:ind w:left="706" w:hanging="706"/>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rPr>
        <w:t>Critcher, Clayton R., and Thomas Gilovich</w:t>
      </w:r>
      <w:r w:rsidRPr="00F376AA">
        <w:rPr>
          <w:rFonts w:ascii="Arial" w:hAnsi="Arial" w:cs="Arial"/>
          <w:sz w:val="18"/>
          <w:szCs w:val="18"/>
          <w:shd w:val="clear" w:color="auto" w:fill="FFFFFF"/>
        </w:rPr>
        <w:t>.</w:t>
      </w:r>
      <w:r w:rsidRPr="00F376AA">
        <w:rPr>
          <w:rFonts w:ascii="Times New Roman" w:hAnsi="Times New Roman"/>
          <w:sz w:val="24"/>
          <w:szCs w:val="24"/>
          <w:shd w:val="clear" w:color="auto" w:fill="FFFFFF"/>
          <w:lang w:val="en-US"/>
        </w:rPr>
        <w:t xml:space="preserve"> (2008) </w:t>
      </w:r>
      <w:r w:rsidR="001735CF">
        <w:rPr>
          <w:rFonts w:ascii="Times New Roman" w:hAnsi="Times New Roman"/>
          <w:sz w:val="24"/>
          <w:szCs w:val="24"/>
          <w:shd w:val="clear" w:color="auto" w:fill="FFFFFF"/>
          <w:lang w:val="en-US"/>
        </w:rPr>
        <w:t>“</w:t>
      </w:r>
      <w:r w:rsidRPr="00F376AA">
        <w:rPr>
          <w:rFonts w:ascii="Times New Roman" w:hAnsi="Times New Roman"/>
          <w:sz w:val="24"/>
          <w:szCs w:val="24"/>
          <w:shd w:val="clear" w:color="auto" w:fill="FFFFFF"/>
          <w:lang w:val="en-US"/>
        </w:rPr>
        <w:t>Incidental environmental anchors</w:t>
      </w:r>
      <w:r w:rsidR="001735CF">
        <w:rPr>
          <w:rFonts w:ascii="Times New Roman" w:hAnsi="Times New Roman"/>
          <w:sz w:val="24"/>
          <w:szCs w:val="24"/>
          <w:shd w:val="clear" w:color="auto" w:fill="FFFFFF"/>
          <w:lang w:val="en-US"/>
        </w:rPr>
        <w:t>.”</w:t>
      </w:r>
      <w:r w:rsidRPr="00F376AA">
        <w:rPr>
          <w:rFonts w:ascii="Times New Roman" w:hAnsi="Times New Roman"/>
          <w:sz w:val="24"/>
          <w:szCs w:val="24"/>
          <w:shd w:val="clear" w:color="auto" w:fill="FFFFFF"/>
          <w:lang w:val="en-US"/>
        </w:rPr>
        <w:t xml:space="preserve"> </w:t>
      </w:r>
      <w:r w:rsidRPr="00F376AA">
        <w:rPr>
          <w:rFonts w:ascii="Times New Roman" w:hAnsi="Times New Roman"/>
          <w:i/>
          <w:iCs/>
          <w:sz w:val="24"/>
          <w:szCs w:val="24"/>
          <w:shd w:val="clear" w:color="auto" w:fill="FFFFFF"/>
          <w:lang w:val="en-US"/>
        </w:rPr>
        <w:t>Journal of Behavioral Decision Making</w:t>
      </w:r>
      <w:r w:rsidRPr="00F376AA">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21,</w:t>
      </w:r>
      <w:r w:rsidRPr="00F376AA">
        <w:rPr>
          <w:rFonts w:ascii="Times New Roman" w:hAnsi="Times New Roman"/>
          <w:sz w:val="24"/>
          <w:szCs w:val="24"/>
          <w:shd w:val="clear" w:color="auto" w:fill="FFFFFF"/>
          <w:lang w:val="en-US"/>
        </w:rPr>
        <w:t xml:space="preserve"> 241-251.</w:t>
      </w:r>
    </w:p>
    <w:p w:rsidR="00683DBC" w:rsidRPr="001735CF" w:rsidRDefault="00683DBC" w:rsidP="001735CF">
      <w:pPr>
        <w:autoSpaceDE w:val="0"/>
        <w:autoSpaceDN w:val="0"/>
        <w:adjustRightInd w:val="0"/>
        <w:spacing w:after="0" w:line="240" w:lineRule="auto"/>
        <w:ind w:left="706" w:hanging="706"/>
        <w:rPr>
          <w:rFonts w:ascii="Times New Roman" w:hAnsi="Times New Roman"/>
          <w:i/>
          <w:sz w:val="24"/>
          <w:szCs w:val="24"/>
          <w:shd w:val="clear" w:color="auto" w:fill="FFFFFF"/>
          <w:lang w:val="en-US"/>
        </w:rPr>
      </w:pPr>
      <w:r w:rsidRPr="00F376AA">
        <w:rPr>
          <w:rFonts w:ascii="Times New Roman" w:hAnsi="Times New Roman"/>
          <w:sz w:val="24"/>
          <w:szCs w:val="24"/>
          <w:shd w:val="clear" w:color="auto" w:fill="FFFFFF"/>
          <w:lang w:val="en-US"/>
        </w:rPr>
        <w:t>Dogerlioglu-Demi</w:t>
      </w:r>
      <w:r w:rsidR="00D4118B">
        <w:rPr>
          <w:rFonts w:ascii="Times New Roman" w:hAnsi="Times New Roman"/>
          <w:sz w:val="24"/>
          <w:szCs w:val="24"/>
          <w:shd w:val="clear" w:color="auto" w:fill="FFFFFF"/>
          <w:lang w:val="en-US"/>
        </w:rPr>
        <w:t>r, Kivilcim and Cenk Koçaş</w:t>
      </w:r>
      <w:r w:rsidR="001735CF">
        <w:rPr>
          <w:rFonts w:ascii="Times New Roman" w:hAnsi="Times New Roman"/>
          <w:sz w:val="24"/>
          <w:szCs w:val="24"/>
          <w:shd w:val="clear" w:color="auto" w:fill="FFFFFF"/>
          <w:lang w:val="en-US"/>
        </w:rPr>
        <w:t xml:space="preserve"> (forthcoming</w:t>
      </w:r>
      <w:r>
        <w:rPr>
          <w:rFonts w:ascii="Times New Roman" w:hAnsi="Times New Roman"/>
          <w:sz w:val="24"/>
          <w:szCs w:val="24"/>
          <w:shd w:val="clear" w:color="auto" w:fill="FFFFFF"/>
          <w:lang w:val="en-US"/>
        </w:rPr>
        <w:t>)</w:t>
      </w:r>
      <w:r w:rsidR="001735CF">
        <w:rPr>
          <w:rFonts w:ascii="Times New Roman" w:hAnsi="Times New Roman"/>
          <w:sz w:val="24"/>
          <w:szCs w:val="24"/>
          <w:shd w:val="clear" w:color="auto" w:fill="FFFFFF"/>
          <w:lang w:val="en-US"/>
        </w:rPr>
        <w:t xml:space="preserve"> “</w:t>
      </w:r>
      <w:r w:rsidR="000164A0" w:rsidRPr="000164A0">
        <w:rPr>
          <w:rFonts w:ascii="Times New Roman" w:hAnsi="Times New Roman"/>
          <w:bCs/>
          <w:sz w:val="24"/>
          <w:szCs w:val="24"/>
          <w:shd w:val="clear" w:color="auto" w:fill="FFFFFF"/>
        </w:rPr>
        <w:t>Seemingly incidental anchoring: the effect of incidental environmental anchors on consumers’ willingness to pay</w:t>
      </w:r>
      <w:r w:rsidR="001735CF">
        <w:rPr>
          <w:rFonts w:ascii="Times New Roman" w:hAnsi="Times New Roman"/>
          <w:bCs/>
          <w:sz w:val="24"/>
          <w:szCs w:val="24"/>
          <w:shd w:val="clear" w:color="auto" w:fill="FFFFFF"/>
        </w:rPr>
        <w:t xml:space="preserve">.” </w:t>
      </w:r>
      <w:r w:rsidR="001735CF">
        <w:rPr>
          <w:rFonts w:ascii="Times New Roman" w:hAnsi="Times New Roman"/>
          <w:bCs/>
          <w:i/>
          <w:sz w:val="24"/>
          <w:szCs w:val="24"/>
          <w:shd w:val="clear" w:color="auto" w:fill="FFFFFF"/>
        </w:rPr>
        <w:t>Marketing Letters.</w:t>
      </w:r>
    </w:p>
    <w:p w:rsidR="00683DBC" w:rsidRPr="00F376AA" w:rsidRDefault="00683DBC" w:rsidP="001C49E8">
      <w:pPr>
        <w:autoSpaceDE w:val="0"/>
        <w:autoSpaceDN w:val="0"/>
        <w:adjustRightInd w:val="0"/>
        <w:spacing w:after="0" w:line="240" w:lineRule="auto"/>
        <w:ind w:left="706" w:hanging="706"/>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lang w:val="en-US"/>
        </w:rPr>
        <w:t>Frederi</w:t>
      </w:r>
      <w:r>
        <w:rPr>
          <w:rFonts w:ascii="Times New Roman" w:hAnsi="Times New Roman"/>
          <w:sz w:val="24"/>
          <w:szCs w:val="24"/>
          <w:shd w:val="clear" w:color="auto" w:fill="FFFFFF"/>
          <w:lang w:val="en-US"/>
        </w:rPr>
        <w:t>ck, Shane W., and Daniel Mochon (2012)</w:t>
      </w:r>
      <w:r w:rsidRPr="00F376AA">
        <w:rPr>
          <w:rFonts w:ascii="Times New Roman" w:hAnsi="Times New Roman"/>
          <w:sz w:val="24"/>
          <w:szCs w:val="24"/>
          <w:shd w:val="clear" w:color="auto" w:fill="FFFFFF"/>
          <w:lang w:val="en-US"/>
        </w:rPr>
        <w:t xml:space="preserve"> "A scale distortion theory of anchoring."</w:t>
      </w:r>
      <w:r w:rsidRPr="00F376AA">
        <w:rPr>
          <w:rStyle w:val="apple-converted-space"/>
          <w:rFonts w:ascii="Times New Roman" w:hAnsi="Times New Roman"/>
          <w:sz w:val="24"/>
          <w:szCs w:val="24"/>
          <w:shd w:val="clear" w:color="auto" w:fill="FFFFFF"/>
          <w:lang w:val="en-US"/>
        </w:rPr>
        <w:t> </w:t>
      </w:r>
      <w:r w:rsidRPr="00F376AA">
        <w:rPr>
          <w:rFonts w:ascii="Times New Roman" w:hAnsi="Times New Roman"/>
          <w:i/>
          <w:iCs/>
          <w:sz w:val="24"/>
          <w:szCs w:val="24"/>
          <w:shd w:val="clear" w:color="auto" w:fill="FFFFFF"/>
          <w:lang w:val="en-US"/>
        </w:rPr>
        <w:t>Journal of Experimental Psychology</w:t>
      </w:r>
      <w:r>
        <w:rPr>
          <w:rFonts w:ascii="Times New Roman" w:hAnsi="Times New Roman"/>
          <w:i/>
          <w:iCs/>
          <w:sz w:val="24"/>
          <w:szCs w:val="24"/>
          <w:shd w:val="clear" w:color="auto" w:fill="FFFFFF"/>
          <w:lang w:val="en-US"/>
        </w:rPr>
        <w:t>,</w:t>
      </w:r>
      <w:r>
        <w:rPr>
          <w:rFonts w:ascii="Times New Roman" w:hAnsi="Times New Roman"/>
          <w:sz w:val="24"/>
          <w:szCs w:val="24"/>
          <w:shd w:val="clear" w:color="auto" w:fill="FFFFFF"/>
          <w:lang w:val="en-US"/>
        </w:rPr>
        <w:t xml:space="preserve"> 141 (1),</w:t>
      </w:r>
      <w:r w:rsidRPr="00F376AA">
        <w:rPr>
          <w:rFonts w:ascii="Times New Roman" w:hAnsi="Times New Roman"/>
          <w:sz w:val="24"/>
          <w:szCs w:val="24"/>
          <w:shd w:val="clear" w:color="auto" w:fill="FFFFFF"/>
          <w:lang w:val="en-US"/>
        </w:rPr>
        <w:t xml:space="preserve"> 124</w:t>
      </w:r>
      <w:r w:rsidR="001735CF">
        <w:rPr>
          <w:rFonts w:ascii="Times New Roman" w:hAnsi="Times New Roman"/>
          <w:sz w:val="24"/>
          <w:szCs w:val="24"/>
          <w:shd w:val="clear" w:color="auto" w:fill="FFFFFF"/>
          <w:lang w:val="en-US"/>
        </w:rPr>
        <w:t>-133</w:t>
      </w:r>
      <w:r w:rsidRPr="00F376AA">
        <w:rPr>
          <w:rFonts w:ascii="Times New Roman" w:hAnsi="Times New Roman"/>
          <w:sz w:val="24"/>
          <w:szCs w:val="24"/>
          <w:shd w:val="clear" w:color="auto" w:fill="FFFFFF"/>
          <w:lang w:val="en-US"/>
        </w:rPr>
        <w:t>.</w:t>
      </w:r>
    </w:p>
    <w:p w:rsidR="00683DBC" w:rsidRDefault="00683DBC" w:rsidP="001C49E8">
      <w:pPr>
        <w:autoSpaceDE w:val="0"/>
        <w:autoSpaceDN w:val="0"/>
        <w:adjustRightInd w:val="0"/>
        <w:spacing w:after="0" w:line="240" w:lineRule="auto"/>
        <w:ind w:left="706" w:hanging="706"/>
        <w:rPr>
          <w:rStyle w:val="apple-converted-space"/>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lang w:val="en-US"/>
        </w:rPr>
        <w:lastRenderedPageBreak/>
        <w:t>Gunasti, Kunter, and William T. Ross Jr. (2010) "How and when alphanumeric brand names affect consumer preferences</w:t>
      </w:r>
      <w:r w:rsidRPr="000164A0">
        <w:rPr>
          <w:rFonts w:ascii="Times New Roman" w:hAnsi="Times New Roman"/>
          <w:sz w:val="24"/>
          <w:szCs w:val="24"/>
          <w:shd w:val="clear" w:color="auto" w:fill="FFFFFF"/>
          <w:lang w:val="en-US"/>
        </w:rPr>
        <w:t>."</w:t>
      </w:r>
      <w:r w:rsidRPr="000164A0">
        <w:rPr>
          <w:rStyle w:val="apple-converted-space"/>
          <w:rFonts w:ascii="Times New Roman" w:hAnsi="Times New Roman"/>
          <w:sz w:val="24"/>
          <w:szCs w:val="24"/>
          <w:shd w:val="clear" w:color="auto" w:fill="FFFFFF"/>
          <w:lang w:val="en-US"/>
        </w:rPr>
        <w:t> </w:t>
      </w:r>
      <w:r w:rsidR="000164A0" w:rsidRPr="000164A0">
        <w:rPr>
          <w:rFonts w:ascii="Times New Roman" w:hAnsi="Times New Roman"/>
          <w:color w:val="222222"/>
          <w:sz w:val="24"/>
          <w:szCs w:val="24"/>
        </w:rPr>
        <w:t> </w:t>
      </w:r>
      <w:r w:rsidR="000164A0" w:rsidRPr="000164A0">
        <w:rPr>
          <w:rFonts w:ascii="Times New Roman" w:hAnsi="Times New Roman"/>
          <w:i/>
          <w:iCs/>
          <w:color w:val="222222"/>
          <w:sz w:val="24"/>
          <w:szCs w:val="24"/>
          <w:shd w:val="clear" w:color="auto" w:fill="FFFFFF"/>
        </w:rPr>
        <w:t>Journal of Marketing Research</w:t>
      </w:r>
      <w:r w:rsidR="000164A0" w:rsidRPr="000164A0">
        <w:rPr>
          <w:rFonts w:ascii="Times New Roman" w:hAnsi="Times New Roman"/>
          <w:color w:val="222222"/>
          <w:sz w:val="24"/>
          <w:szCs w:val="24"/>
          <w:shd w:val="clear" w:color="auto" w:fill="FFFFFF"/>
        </w:rPr>
        <w:t>,</w:t>
      </w:r>
      <w:r w:rsidR="000164A0" w:rsidRPr="000164A0">
        <w:rPr>
          <w:rFonts w:ascii="Times New Roman" w:hAnsi="Times New Roman"/>
          <w:color w:val="222222"/>
          <w:sz w:val="24"/>
          <w:szCs w:val="24"/>
        </w:rPr>
        <w:t> </w:t>
      </w:r>
      <w:r w:rsidR="000164A0" w:rsidRPr="000164A0">
        <w:rPr>
          <w:rFonts w:ascii="Times New Roman" w:hAnsi="Times New Roman"/>
          <w:i/>
          <w:iCs/>
          <w:color w:val="222222"/>
          <w:sz w:val="24"/>
          <w:szCs w:val="24"/>
          <w:shd w:val="clear" w:color="auto" w:fill="FFFFFF"/>
        </w:rPr>
        <w:t>47</w:t>
      </w:r>
      <w:r w:rsidR="000164A0" w:rsidRPr="000164A0">
        <w:rPr>
          <w:rFonts w:ascii="Times New Roman" w:hAnsi="Times New Roman"/>
          <w:color w:val="222222"/>
          <w:sz w:val="24"/>
          <w:szCs w:val="24"/>
          <w:shd w:val="clear" w:color="auto" w:fill="FFFFFF"/>
        </w:rPr>
        <w:t>(6), 1177-1192.</w:t>
      </w:r>
    </w:p>
    <w:p w:rsidR="00683DBC" w:rsidRPr="00F376AA" w:rsidRDefault="00683DBC" w:rsidP="001C49E8">
      <w:pPr>
        <w:autoSpaceDE w:val="0"/>
        <w:autoSpaceDN w:val="0"/>
        <w:adjustRightInd w:val="0"/>
        <w:spacing w:after="0" w:line="240" w:lineRule="auto"/>
        <w:ind w:left="706" w:hanging="706"/>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rPr>
        <w:t>Krishna, Aradhna, Mary Wagner, Carolyn Yoon, and Rashmi Adaval</w:t>
      </w:r>
      <w:r w:rsidRPr="00F376AA">
        <w:rPr>
          <w:rFonts w:ascii="Times New Roman" w:hAnsi="Times New Roman"/>
          <w:sz w:val="24"/>
          <w:szCs w:val="24"/>
          <w:shd w:val="clear" w:color="auto" w:fill="FFFFFF"/>
          <w:lang w:val="en-US"/>
        </w:rPr>
        <w:t xml:space="preserve"> (2006) Effects of extreme-priced products on consumer reservation prices.</w:t>
      </w:r>
      <w:r w:rsidRPr="00F376AA">
        <w:rPr>
          <w:rStyle w:val="apple-converted-space"/>
          <w:rFonts w:ascii="Times New Roman" w:hAnsi="Times New Roman"/>
          <w:sz w:val="24"/>
          <w:szCs w:val="24"/>
          <w:shd w:val="clear" w:color="auto" w:fill="FFFFFF"/>
          <w:lang w:val="en-US"/>
        </w:rPr>
        <w:t> </w:t>
      </w:r>
      <w:r w:rsidRPr="00F376AA">
        <w:rPr>
          <w:rFonts w:ascii="Times New Roman" w:hAnsi="Times New Roman"/>
          <w:i/>
          <w:iCs/>
          <w:sz w:val="24"/>
          <w:szCs w:val="24"/>
          <w:shd w:val="clear" w:color="auto" w:fill="FFFFFF"/>
          <w:lang w:val="en-US"/>
        </w:rPr>
        <w:t>Journal of Consumer Psychology</w:t>
      </w:r>
      <w:r w:rsidRPr="00F376AA">
        <w:rPr>
          <w:rStyle w:val="apple-converted-space"/>
          <w:rFonts w:ascii="Times New Roman" w:hAnsi="Times New Roman"/>
          <w:sz w:val="24"/>
          <w:szCs w:val="24"/>
          <w:shd w:val="clear" w:color="auto" w:fill="FFFFFF"/>
          <w:lang w:val="en-US"/>
        </w:rPr>
        <w:t> </w:t>
      </w:r>
      <w:r w:rsidR="000164A0">
        <w:rPr>
          <w:rFonts w:ascii="Times New Roman" w:hAnsi="Times New Roman"/>
          <w:sz w:val="24"/>
          <w:szCs w:val="24"/>
          <w:shd w:val="clear" w:color="auto" w:fill="FFFFFF"/>
          <w:lang w:val="en-US"/>
        </w:rPr>
        <w:t>16</w:t>
      </w:r>
      <w:r>
        <w:rPr>
          <w:rFonts w:ascii="Times New Roman" w:hAnsi="Times New Roman"/>
          <w:sz w:val="24"/>
          <w:szCs w:val="24"/>
          <w:shd w:val="clear" w:color="auto" w:fill="FFFFFF"/>
          <w:lang w:val="en-US"/>
        </w:rPr>
        <w:t>(2)</w:t>
      </w:r>
      <w:r w:rsidR="000164A0">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w:t>
      </w:r>
      <w:r w:rsidRPr="00F376AA">
        <w:rPr>
          <w:rFonts w:ascii="Times New Roman" w:hAnsi="Times New Roman"/>
          <w:sz w:val="24"/>
          <w:szCs w:val="24"/>
          <w:shd w:val="clear" w:color="auto" w:fill="FFFFFF"/>
          <w:lang w:val="en-US"/>
        </w:rPr>
        <w:t>176-190.</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rPr>
        <w:t>Mazumdar, Tridib, S. P. Raj, and Indrajit Sinha</w:t>
      </w:r>
      <w:r w:rsidRPr="00F376AA">
        <w:rPr>
          <w:rFonts w:ascii="Arial" w:hAnsi="Arial" w:cs="Arial"/>
          <w:sz w:val="18"/>
          <w:szCs w:val="18"/>
          <w:shd w:val="clear" w:color="auto" w:fill="FFFFFF"/>
        </w:rPr>
        <w:t>.</w:t>
      </w:r>
      <w:r w:rsidRPr="00F376AA">
        <w:rPr>
          <w:rFonts w:ascii="Times New Roman" w:hAnsi="Times New Roman"/>
          <w:sz w:val="24"/>
          <w:szCs w:val="24"/>
          <w:shd w:val="clear" w:color="auto" w:fill="FFFFFF"/>
          <w:lang w:val="en-US"/>
        </w:rPr>
        <w:t xml:space="preserve"> (2005) Reference price research: review and propositions.</w:t>
      </w:r>
      <w:r w:rsidRPr="00F376AA">
        <w:rPr>
          <w:rStyle w:val="apple-converted-space"/>
          <w:rFonts w:ascii="Times New Roman" w:hAnsi="Times New Roman"/>
          <w:sz w:val="24"/>
          <w:szCs w:val="24"/>
          <w:shd w:val="clear" w:color="auto" w:fill="FFFFFF"/>
          <w:lang w:val="en-US"/>
        </w:rPr>
        <w:t> </w:t>
      </w:r>
      <w:r w:rsidRPr="00F376AA">
        <w:rPr>
          <w:rFonts w:ascii="Times New Roman" w:hAnsi="Times New Roman"/>
          <w:i/>
          <w:iCs/>
          <w:sz w:val="24"/>
          <w:szCs w:val="24"/>
          <w:shd w:val="clear" w:color="auto" w:fill="FFFFFF"/>
          <w:lang w:val="en-US"/>
        </w:rPr>
        <w:t>Journal of Marketing</w:t>
      </w:r>
      <w:r w:rsidR="000164A0">
        <w:rPr>
          <w:rFonts w:ascii="Times New Roman" w:hAnsi="Times New Roman"/>
          <w:i/>
          <w:iCs/>
          <w:sz w:val="24"/>
          <w:szCs w:val="24"/>
          <w:shd w:val="clear" w:color="auto" w:fill="FFFFFF"/>
          <w:lang w:val="en-US"/>
        </w:rPr>
        <w:t>,</w:t>
      </w:r>
      <w:r w:rsidRPr="00F376AA">
        <w:rPr>
          <w:rStyle w:val="apple-converted-space"/>
          <w:rFonts w:ascii="Times New Roman" w:hAnsi="Times New Roman"/>
          <w:sz w:val="24"/>
          <w:szCs w:val="24"/>
          <w:shd w:val="clear" w:color="auto" w:fill="FFFFFF"/>
          <w:lang w:val="en-US"/>
        </w:rPr>
        <w:t> 69(4)</w:t>
      </w:r>
      <w:r w:rsidRPr="00F376AA">
        <w:rPr>
          <w:rFonts w:ascii="Times New Roman" w:hAnsi="Times New Roman"/>
          <w:sz w:val="24"/>
          <w:szCs w:val="24"/>
          <w:shd w:val="clear" w:color="auto" w:fill="FFFFFF"/>
          <w:lang w:val="en-US"/>
        </w:rPr>
        <w:t>, 84-102.</w:t>
      </w:r>
    </w:p>
    <w:p w:rsidR="00683DBC" w:rsidRPr="00F376AA" w:rsidRDefault="00683DBC" w:rsidP="001C49E8">
      <w:pPr>
        <w:autoSpaceDE w:val="0"/>
        <w:autoSpaceDN w:val="0"/>
        <w:adjustRightInd w:val="0"/>
        <w:spacing w:after="0" w:line="240" w:lineRule="auto"/>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lang w:val="en-US"/>
        </w:rPr>
        <w:t>Mochon, Daniel, and Shane Frederick (2012).</w:t>
      </w:r>
      <w:r w:rsidRPr="00F376AA">
        <w:rPr>
          <w:rFonts w:ascii="Times New Roman" w:eastAsia="Arial Unicode MS" w:hAnsi="Times New Roman"/>
          <w:sz w:val="24"/>
          <w:szCs w:val="24"/>
          <w:lang w:val="en-US" w:eastAsia="ja-JP"/>
        </w:rPr>
        <w:t xml:space="preserve"> </w:t>
      </w:r>
      <w:r w:rsidRPr="00F376AA">
        <w:rPr>
          <w:rFonts w:ascii="Times New Roman" w:eastAsia="Arial Unicode MS" w:hAnsi="Times New Roman"/>
          <w:bCs/>
          <w:sz w:val="24"/>
          <w:szCs w:val="24"/>
          <w:lang w:val="en-US" w:eastAsia="ja-JP"/>
        </w:rPr>
        <w:t>A scale distortion theory of anchoring</w:t>
      </w:r>
    </w:p>
    <w:p w:rsidR="000164A0" w:rsidRDefault="00683DBC" w:rsidP="000164A0">
      <w:pPr>
        <w:shd w:val="clear" w:color="auto" w:fill="FCFCFC"/>
        <w:spacing w:after="0" w:line="240" w:lineRule="auto"/>
        <w:ind w:firstLine="720"/>
        <w:textAlignment w:val="baseline"/>
        <w:rPr>
          <w:rFonts w:ascii="Times New Roman" w:eastAsia="Arial Unicode MS" w:hAnsi="Times New Roman"/>
          <w:sz w:val="24"/>
          <w:szCs w:val="24"/>
          <w:lang w:val="en-US" w:eastAsia="ja-JP"/>
        </w:rPr>
      </w:pPr>
      <w:r w:rsidRPr="00F376AA">
        <w:rPr>
          <w:rFonts w:ascii="Times New Roman" w:eastAsia="Arial Unicode MS" w:hAnsi="Times New Roman"/>
          <w:i/>
          <w:sz w:val="24"/>
          <w:szCs w:val="24"/>
          <w:lang w:val="en-US" w:eastAsia="ja-JP"/>
        </w:rPr>
        <w:t>Journal of Experimental Psychology</w:t>
      </w:r>
      <w:r w:rsidRPr="00F376AA">
        <w:rPr>
          <w:rFonts w:ascii="Times New Roman" w:eastAsia="Arial Unicode MS" w:hAnsi="Times New Roman"/>
          <w:sz w:val="24"/>
          <w:szCs w:val="24"/>
          <w:lang w:val="en-US" w:eastAsia="ja-JP"/>
        </w:rPr>
        <w:t>, 141 (1), 124–133.</w:t>
      </w:r>
    </w:p>
    <w:p w:rsidR="00683DBC" w:rsidRPr="00F376AA" w:rsidRDefault="00683DBC" w:rsidP="000164A0">
      <w:pPr>
        <w:shd w:val="clear" w:color="auto" w:fill="FCFCFC"/>
        <w:spacing w:after="0" w:line="240" w:lineRule="auto"/>
        <w:ind w:left="720" w:hanging="720"/>
        <w:textAlignment w:val="baseline"/>
        <w:rPr>
          <w:rFonts w:ascii="Times New Roman" w:eastAsia="Arial Unicode MS" w:hAnsi="Times New Roman"/>
          <w:sz w:val="24"/>
          <w:szCs w:val="24"/>
          <w:lang w:val="en-US" w:eastAsia="ja-JP"/>
        </w:rPr>
      </w:pPr>
      <w:r>
        <w:rPr>
          <w:rFonts w:ascii="Times New Roman" w:hAnsi="Times New Roman"/>
          <w:sz w:val="24"/>
          <w:szCs w:val="24"/>
          <w:shd w:val="clear" w:color="auto" w:fill="FFFFFF"/>
        </w:rPr>
        <w:t xml:space="preserve">Mussweiler, Thomas </w:t>
      </w:r>
      <w:r w:rsidRPr="00F376AA">
        <w:rPr>
          <w:rFonts w:ascii="Times New Roman" w:hAnsi="Times New Roman"/>
          <w:sz w:val="24"/>
          <w:szCs w:val="24"/>
          <w:shd w:val="clear" w:color="auto" w:fill="FFFFFF"/>
        </w:rPr>
        <w:t>and Fritz Strack.</w:t>
      </w:r>
      <w:r w:rsidRPr="00F376AA">
        <w:rPr>
          <w:rFonts w:ascii="Times New Roman" w:hAnsi="Times New Roman"/>
          <w:sz w:val="24"/>
          <w:szCs w:val="24"/>
          <w:shd w:val="clear" w:color="auto" w:fill="FFFFFF"/>
          <w:lang w:val="en-US"/>
        </w:rPr>
        <w:t xml:space="preserve"> (2001) The semantics of anchoring. </w:t>
      </w:r>
      <w:r w:rsidRPr="00F376AA">
        <w:rPr>
          <w:rFonts w:ascii="Times New Roman" w:hAnsi="Times New Roman"/>
          <w:i/>
          <w:iCs/>
          <w:sz w:val="24"/>
          <w:szCs w:val="24"/>
          <w:shd w:val="clear" w:color="auto" w:fill="FFFFFF"/>
          <w:lang w:val="en-US"/>
        </w:rPr>
        <w:t>Organizational Behavior and Human Decision Processes</w:t>
      </w:r>
      <w:r w:rsidRPr="00F376AA">
        <w:rPr>
          <w:rStyle w:val="apple-converted-space"/>
          <w:rFonts w:ascii="Times New Roman" w:hAnsi="Times New Roman"/>
          <w:sz w:val="24"/>
          <w:szCs w:val="24"/>
          <w:shd w:val="clear" w:color="auto" w:fill="FFFFFF"/>
          <w:lang w:val="en-US"/>
        </w:rPr>
        <w:t> </w:t>
      </w:r>
      <w:r w:rsidRPr="00F376AA">
        <w:rPr>
          <w:rFonts w:ascii="Times New Roman" w:hAnsi="Times New Roman"/>
          <w:sz w:val="24"/>
          <w:szCs w:val="24"/>
          <w:shd w:val="clear" w:color="auto" w:fill="FFFFFF"/>
          <w:lang w:val="en-US"/>
        </w:rPr>
        <w:t>86</w:t>
      </w:r>
      <w:r w:rsidR="001735CF">
        <w:rPr>
          <w:rFonts w:ascii="Times New Roman" w:hAnsi="Times New Roman"/>
          <w:sz w:val="24"/>
          <w:szCs w:val="24"/>
          <w:shd w:val="clear" w:color="auto" w:fill="FFFFFF"/>
          <w:lang w:val="en-US"/>
        </w:rPr>
        <w:t>(2)</w:t>
      </w:r>
      <w:r w:rsidR="000164A0">
        <w:rPr>
          <w:rFonts w:ascii="Times New Roman" w:hAnsi="Times New Roman"/>
          <w:sz w:val="24"/>
          <w:szCs w:val="24"/>
          <w:shd w:val="clear" w:color="auto" w:fill="FFFFFF"/>
          <w:lang w:val="en-US"/>
        </w:rPr>
        <w:t>,</w:t>
      </w:r>
      <w:r w:rsidRPr="00F376AA">
        <w:rPr>
          <w:rFonts w:ascii="Times New Roman" w:hAnsi="Times New Roman"/>
          <w:sz w:val="24"/>
          <w:szCs w:val="24"/>
          <w:shd w:val="clear" w:color="auto" w:fill="FFFFFF"/>
          <w:lang w:val="en-US"/>
        </w:rPr>
        <w:t xml:space="preserve"> 234-255.</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rPr>
      </w:pPr>
      <w:r w:rsidRPr="00F376AA">
        <w:rPr>
          <w:rFonts w:ascii="Times New Roman" w:hAnsi="Times New Roman"/>
          <w:sz w:val="24"/>
          <w:szCs w:val="24"/>
          <w:shd w:val="clear" w:color="auto" w:fill="FFFFFF"/>
        </w:rPr>
        <w:t>Pandelaere, Mario, Barbara Briers, and Christophe Lembregts (2011) "How to make a 29% increase look bigger: The unit effect in option comparisons."</w:t>
      </w:r>
      <w:r w:rsidRPr="00F376AA">
        <w:rPr>
          <w:rFonts w:ascii="Times New Roman" w:hAnsi="Times New Roman"/>
          <w:sz w:val="24"/>
          <w:szCs w:val="24"/>
        </w:rPr>
        <w:t> </w:t>
      </w:r>
      <w:r w:rsidRPr="00F376AA">
        <w:rPr>
          <w:rFonts w:ascii="Times New Roman" w:hAnsi="Times New Roman"/>
          <w:i/>
          <w:iCs/>
          <w:sz w:val="24"/>
          <w:szCs w:val="24"/>
          <w:shd w:val="clear" w:color="auto" w:fill="FFFFFF"/>
        </w:rPr>
        <w:t>Journal of Consumer Research</w:t>
      </w:r>
      <w:r w:rsidRPr="00F376AA">
        <w:rPr>
          <w:rFonts w:ascii="Times New Roman" w:hAnsi="Times New Roman"/>
          <w:sz w:val="24"/>
          <w:szCs w:val="24"/>
        </w:rPr>
        <w:t> </w:t>
      </w:r>
      <w:r w:rsidRPr="00F376AA">
        <w:rPr>
          <w:rFonts w:ascii="Times New Roman" w:hAnsi="Times New Roman"/>
          <w:sz w:val="24"/>
          <w:szCs w:val="24"/>
          <w:shd w:val="clear" w:color="auto" w:fill="FFFFFF"/>
        </w:rPr>
        <w:t>38(2), 308-322.</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rPr>
      </w:pPr>
      <w:r>
        <w:rPr>
          <w:rFonts w:ascii="Times New Roman" w:hAnsi="Times New Roman"/>
          <w:sz w:val="24"/>
          <w:szCs w:val="24"/>
          <w:lang w:val="en-US" w:eastAsia="ja-JP"/>
        </w:rPr>
        <w:t>Parducci, Allen</w:t>
      </w:r>
      <w:r w:rsidRPr="00F376AA">
        <w:rPr>
          <w:rFonts w:ascii="Times New Roman" w:hAnsi="Times New Roman"/>
          <w:sz w:val="24"/>
          <w:szCs w:val="24"/>
          <w:lang w:val="en-US" w:eastAsia="ja-JP"/>
        </w:rPr>
        <w:t xml:space="preserve"> (1965). Category Judgment: A Range-Frequency Model. </w:t>
      </w:r>
      <w:r w:rsidRPr="00F376AA">
        <w:rPr>
          <w:rFonts w:ascii="Times New Roman" w:hAnsi="Times New Roman"/>
          <w:i/>
          <w:iCs/>
          <w:sz w:val="24"/>
          <w:szCs w:val="24"/>
          <w:lang w:val="en-US" w:eastAsia="ja-JP"/>
        </w:rPr>
        <w:t xml:space="preserve">Psychological Review, 72 (6), </w:t>
      </w:r>
      <w:r w:rsidRPr="00F376AA">
        <w:rPr>
          <w:rFonts w:ascii="Times New Roman" w:hAnsi="Times New Roman"/>
          <w:sz w:val="24"/>
          <w:szCs w:val="24"/>
          <w:lang w:val="en-US" w:eastAsia="ja-JP"/>
        </w:rPr>
        <w:t>407–418.</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rPr>
      </w:pPr>
      <w:r w:rsidRPr="00F376AA">
        <w:rPr>
          <w:rFonts w:ascii="Times New Roman" w:hAnsi="Times New Roman"/>
          <w:sz w:val="24"/>
          <w:szCs w:val="24"/>
          <w:shd w:val="clear" w:color="auto" w:fill="FFFFFF"/>
        </w:rPr>
        <w:t>Raghubir, Priya, and Joydeep Srivastava</w:t>
      </w:r>
      <w:r w:rsidRPr="00F376AA">
        <w:rPr>
          <w:rFonts w:ascii="Times New Roman" w:hAnsi="Times New Roman"/>
          <w:sz w:val="24"/>
          <w:szCs w:val="24"/>
          <w:lang w:val="en-US" w:eastAsia="ja-JP"/>
        </w:rPr>
        <w:t xml:space="preserve"> (2002). Effect of Face Value on Product Valuation in Foreign Currencies. </w:t>
      </w:r>
      <w:r w:rsidRPr="00F376AA">
        <w:rPr>
          <w:rFonts w:ascii="Times New Roman" w:hAnsi="Times New Roman"/>
          <w:i/>
          <w:iCs/>
          <w:sz w:val="24"/>
          <w:szCs w:val="24"/>
          <w:lang w:val="en-US" w:eastAsia="ja-JP"/>
        </w:rPr>
        <w:t xml:space="preserve">Journal of Consumer Research, </w:t>
      </w:r>
      <w:r w:rsidRPr="001735CF">
        <w:rPr>
          <w:rFonts w:ascii="Times New Roman" w:hAnsi="Times New Roman"/>
          <w:iCs/>
          <w:sz w:val="24"/>
          <w:szCs w:val="24"/>
          <w:lang w:val="en-US" w:eastAsia="ja-JP"/>
        </w:rPr>
        <w:t>29 (3),</w:t>
      </w:r>
      <w:r w:rsidRPr="00F376AA">
        <w:rPr>
          <w:rFonts w:ascii="Times New Roman" w:hAnsi="Times New Roman"/>
          <w:i/>
          <w:iCs/>
          <w:sz w:val="24"/>
          <w:szCs w:val="24"/>
          <w:lang w:val="en-US" w:eastAsia="ja-JP"/>
        </w:rPr>
        <w:t xml:space="preserve"> </w:t>
      </w:r>
      <w:r w:rsidRPr="00F376AA">
        <w:rPr>
          <w:rFonts w:ascii="Times New Roman" w:hAnsi="Times New Roman"/>
          <w:sz w:val="24"/>
          <w:szCs w:val="24"/>
          <w:lang w:val="en-US" w:eastAsia="ja-JP"/>
        </w:rPr>
        <w:t>335–</w:t>
      </w:r>
      <w:r>
        <w:rPr>
          <w:rFonts w:ascii="Times New Roman" w:hAnsi="Times New Roman"/>
          <w:sz w:val="24"/>
          <w:szCs w:val="24"/>
          <w:lang w:val="en-US" w:eastAsia="ja-JP"/>
        </w:rPr>
        <w:t>3</w:t>
      </w:r>
      <w:r w:rsidRPr="00F376AA">
        <w:rPr>
          <w:rFonts w:ascii="Times New Roman" w:hAnsi="Times New Roman"/>
          <w:sz w:val="24"/>
          <w:szCs w:val="24"/>
          <w:lang w:val="en-US" w:eastAsia="ja-JP"/>
        </w:rPr>
        <w:t>47.</w:t>
      </w:r>
    </w:p>
    <w:p w:rsidR="00683DBC" w:rsidRPr="001735CF"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rPr>
      </w:pPr>
      <w:r w:rsidRPr="001735CF">
        <w:rPr>
          <w:rFonts w:ascii="Times New Roman" w:hAnsi="Times New Roman"/>
          <w:sz w:val="24"/>
          <w:szCs w:val="24"/>
          <w:shd w:val="clear" w:color="auto" w:fill="FFFFFF"/>
          <w:lang w:val="en-US"/>
        </w:rPr>
        <w:t xml:space="preserve">Tversky A, Kahneman D (1974) Judgment under uncertainty: heuristics and biases. </w:t>
      </w:r>
      <w:r w:rsidRPr="001735CF">
        <w:rPr>
          <w:rFonts w:ascii="Times New Roman" w:hAnsi="Times New Roman"/>
          <w:i/>
          <w:sz w:val="24"/>
          <w:szCs w:val="24"/>
          <w:shd w:val="clear" w:color="auto" w:fill="FFFFFF"/>
          <w:lang w:val="en-US"/>
        </w:rPr>
        <w:t>Science</w:t>
      </w:r>
      <w:r w:rsidR="001735CF">
        <w:rPr>
          <w:rFonts w:ascii="Times New Roman" w:hAnsi="Times New Roman"/>
          <w:i/>
          <w:sz w:val="24"/>
          <w:szCs w:val="24"/>
          <w:shd w:val="clear" w:color="auto" w:fill="FFFFFF"/>
          <w:lang w:val="en-US"/>
        </w:rPr>
        <w:t>,</w:t>
      </w:r>
      <w:r w:rsidR="001735CF" w:rsidRPr="001735CF">
        <w:rPr>
          <w:rFonts w:ascii="Times New Roman" w:hAnsi="Times New Roman"/>
          <w:sz w:val="24"/>
          <w:szCs w:val="24"/>
          <w:shd w:val="clear" w:color="auto" w:fill="FFFFFF"/>
          <w:lang w:val="en-US"/>
        </w:rPr>
        <w:t xml:space="preserve"> 185</w:t>
      </w:r>
      <w:r w:rsidR="001735CF" w:rsidRPr="001735CF">
        <w:rPr>
          <w:rFonts w:ascii="Times New Roman" w:hAnsi="Times New Roman"/>
          <w:iCs/>
          <w:color w:val="222222"/>
          <w:sz w:val="24"/>
          <w:szCs w:val="24"/>
          <w:shd w:val="clear" w:color="auto" w:fill="FFFFFF"/>
        </w:rPr>
        <w:t>(4157),</w:t>
      </w:r>
      <w:r w:rsidRPr="001735CF">
        <w:rPr>
          <w:rFonts w:ascii="Times New Roman" w:hAnsi="Times New Roman"/>
          <w:sz w:val="24"/>
          <w:szCs w:val="24"/>
          <w:shd w:val="clear" w:color="auto" w:fill="FFFFFF"/>
          <w:lang w:val="en-US"/>
        </w:rPr>
        <w:t>1124-1131.</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lang w:val="en-US"/>
        </w:rPr>
        <w:t>Wilson, Timothy D., Christopher E. Houston, Kathryn M. Etling, and Nancy Brekke (1996) "A new look at anchoring effects: basic anchoring and its antecedents."</w:t>
      </w:r>
      <w:r w:rsidRPr="00F376AA">
        <w:rPr>
          <w:rFonts w:ascii="Times New Roman" w:hAnsi="Times New Roman"/>
          <w:i/>
          <w:iCs/>
          <w:sz w:val="24"/>
          <w:szCs w:val="24"/>
          <w:shd w:val="clear" w:color="auto" w:fill="FFFFFF"/>
          <w:lang w:val="en-US"/>
        </w:rPr>
        <w:t xml:space="preserve">Journal of Experimental Psychology. </w:t>
      </w:r>
      <w:r w:rsidRPr="00F376AA">
        <w:rPr>
          <w:rFonts w:ascii="Times New Roman" w:hAnsi="Times New Roman"/>
          <w:sz w:val="24"/>
          <w:szCs w:val="24"/>
          <w:shd w:val="clear" w:color="auto" w:fill="FFFFFF"/>
          <w:lang w:val="en-US"/>
        </w:rPr>
        <w:t>125 (4), 387</w:t>
      </w:r>
      <w:r w:rsidR="000164A0">
        <w:rPr>
          <w:rFonts w:ascii="Times New Roman" w:hAnsi="Times New Roman"/>
          <w:sz w:val="24"/>
          <w:szCs w:val="24"/>
          <w:shd w:val="clear" w:color="auto" w:fill="FFFFFF"/>
          <w:lang w:val="en-US"/>
        </w:rPr>
        <w:t>-402</w:t>
      </w:r>
      <w:r w:rsidRPr="00F376AA">
        <w:rPr>
          <w:rFonts w:ascii="Times New Roman" w:hAnsi="Times New Roman"/>
          <w:sz w:val="24"/>
          <w:szCs w:val="24"/>
          <w:shd w:val="clear" w:color="auto" w:fill="FFFFFF"/>
          <w:lang w:val="en-US"/>
        </w:rPr>
        <w:t>.</w:t>
      </w:r>
    </w:p>
    <w:p w:rsidR="00683DBC" w:rsidRPr="00F376AA" w:rsidRDefault="00683DBC" w:rsidP="001C49E8">
      <w:pPr>
        <w:autoSpaceDE w:val="0"/>
        <w:autoSpaceDN w:val="0"/>
        <w:adjustRightInd w:val="0"/>
        <w:spacing w:after="0" w:line="240" w:lineRule="auto"/>
        <w:ind w:left="706" w:hanging="720"/>
        <w:rPr>
          <w:rFonts w:ascii="Times New Roman" w:hAnsi="Times New Roman"/>
          <w:sz w:val="24"/>
          <w:szCs w:val="24"/>
          <w:shd w:val="clear" w:color="auto" w:fill="FFFFFF"/>
          <w:lang w:val="en-US"/>
        </w:rPr>
      </w:pPr>
      <w:r w:rsidRPr="00F376AA">
        <w:rPr>
          <w:rFonts w:ascii="Times New Roman" w:hAnsi="Times New Roman"/>
          <w:sz w:val="24"/>
          <w:szCs w:val="24"/>
          <w:shd w:val="clear" w:color="auto" w:fill="FFFFFF"/>
        </w:rPr>
        <w:t>Zhang, Y. Charles, and Norbert Schwarz (2012) "How and why 1 year differs from 365 days: a conversational logic analysis of inferences from the granularity of quantitative expressions."</w:t>
      </w:r>
      <w:r w:rsidRPr="00F376AA">
        <w:rPr>
          <w:rFonts w:ascii="Times New Roman" w:hAnsi="Times New Roman"/>
          <w:sz w:val="24"/>
          <w:szCs w:val="24"/>
        </w:rPr>
        <w:t> </w:t>
      </w:r>
      <w:r w:rsidRPr="00F376AA">
        <w:rPr>
          <w:rFonts w:ascii="Times New Roman" w:hAnsi="Times New Roman"/>
          <w:i/>
          <w:iCs/>
          <w:sz w:val="24"/>
          <w:szCs w:val="24"/>
          <w:shd w:val="clear" w:color="auto" w:fill="FFFFFF"/>
        </w:rPr>
        <w:t>Journal of Consumer Research</w:t>
      </w:r>
      <w:r w:rsidRPr="00F376AA">
        <w:rPr>
          <w:rFonts w:ascii="Times New Roman" w:hAnsi="Times New Roman"/>
          <w:sz w:val="24"/>
          <w:szCs w:val="24"/>
        </w:rPr>
        <w:t> </w:t>
      </w:r>
      <w:r w:rsidRPr="00F376AA">
        <w:rPr>
          <w:rFonts w:ascii="Times New Roman" w:hAnsi="Times New Roman"/>
          <w:sz w:val="24"/>
          <w:szCs w:val="24"/>
          <w:shd w:val="clear" w:color="auto" w:fill="FFFFFF"/>
        </w:rPr>
        <w:t>39 (2</w:t>
      </w:r>
      <w:r>
        <w:rPr>
          <w:rFonts w:ascii="Times New Roman" w:hAnsi="Times New Roman"/>
          <w:sz w:val="24"/>
          <w:szCs w:val="24"/>
          <w:shd w:val="clear" w:color="auto" w:fill="FFFFFF"/>
        </w:rPr>
        <w:t>),</w:t>
      </w:r>
      <w:r w:rsidRPr="00F376AA">
        <w:rPr>
          <w:rFonts w:ascii="Times New Roman" w:hAnsi="Times New Roman"/>
          <w:sz w:val="24"/>
          <w:szCs w:val="24"/>
          <w:shd w:val="clear" w:color="auto" w:fill="FFFFFF"/>
        </w:rPr>
        <w:t xml:space="preserve"> 248-259.</w:t>
      </w:r>
    </w:p>
    <w:sectPr w:rsidR="00683DBC" w:rsidRPr="00F376AA" w:rsidSect="0067566F">
      <w:footerReference w:type="default" r:id="rId8"/>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AB" w:rsidRDefault="000E5BAB">
      <w:r>
        <w:separator/>
      </w:r>
    </w:p>
  </w:endnote>
  <w:endnote w:type="continuationSeparator" w:id="1">
    <w:p w:rsidR="000E5BAB" w:rsidRDefault="000E5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675"/>
      <w:docPartObj>
        <w:docPartGallery w:val="Page Numbers (Bottom of Page)"/>
        <w:docPartUnique/>
      </w:docPartObj>
    </w:sdtPr>
    <w:sdtContent>
      <w:p w:rsidR="00FB6E89" w:rsidRDefault="00195E59">
        <w:pPr>
          <w:pStyle w:val="Footer"/>
          <w:jc w:val="right"/>
        </w:pPr>
        <w:fldSimple w:instr=" PAGE   \* MERGEFORMAT ">
          <w:r w:rsidR="00D4118B">
            <w:rPr>
              <w:noProof/>
            </w:rPr>
            <w:t>4</w:t>
          </w:r>
        </w:fldSimple>
      </w:p>
    </w:sdtContent>
  </w:sdt>
  <w:p w:rsidR="00FB6E89" w:rsidRDefault="00FB6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AB" w:rsidRDefault="000E5BAB">
      <w:r>
        <w:separator/>
      </w:r>
    </w:p>
  </w:footnote>
  <w:footnote w:type="continuationSeparator" w:id="1">
    <w:p w:rsidR="000E5BAB" w:rsidRDefault="000E5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106"/>
    <w:multiLevelType w:val="multilevel"/>
    <w:tmpl w:val="809E9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20"/>
  <w:hyphenationZone w:val="425"/>
  <w:characterSpacingControl w:val="doNotCompress"/>
  <w:footnotePr>
    <w:footnote w:id="0"/>
    <w:footnote w:id="1"/>
  </w:footnotePr>
  <w:endnotePr>
    <w:endnote w:id="0"/>
    <w:endnote w:id="1"/>
  </w:endnotePr>
  <w:compat>
    <w:useFELayout/>
  </w:compat>
  <w:rsids>
    <w:rsidRoot w:val="00FC43D8"/>
    <w:rsid w:val="000164A0"/>
    <w:rsid w:val="000353CD"/>
    <w:rsid w:val="00041CDF"/>
    <w:rsid w:val="000659F1"/>
    <w:rsid w:val="00065E66"/>
    <w:rsid w:val="000855ED"/>
    <w:rsid w:val="0008693B"/>
    <w:rsid w:val="0009057A"/>
    <w:rsid w:val="000B42BB"/>
    <w:rsid w:val="000E5BAB"/>
    <w:rsid w:val="00130830"/>
    <w:rsid w:val="001735CF"/>
    <w:rsid w:val="00195E59"/>
    <w:rsid w:val="001A4BB7"/>
    <w:rsid w:val="001C49E8"/>
    <w:rsid w:val="001D2D9A"/>
    <w:rsid w:val="001D6BEF"/>
    <w:rsid w:val="001D7FD3"/>
    <w:rsid w:val="0021786F"/>
    <w:rsid w:val="00254F11"/>
    <w:rsid w:val="00257639"/>
    <w:rsid w:val="00263625"/>
    <w:rsid w:val="002654D0"/>
    <w:rsid w:val="00273317"/>
    <w:rsid w:val="00280041"/>
    <w:rsid w:val="0028776E"/>
    <w:rsid w:val="002C6C2A"/>
    <w:rsid w:val="002E764A"/>
    <w:rsid w:val="003123F1"/>
    <w:rsid w:val="0031446F"/>
    <w:rsid w:val="0033312D"/>
    <w:rsid w:val="00350F6F"/>
    <w:rsid w:val="00360970"/>
    <w:rsid w:val="00361BF6"/>
    <w:rsid w:val="003735CB"/>
    <w:rsid w:val="00373A1F"/>
    <w:rsid w:val="00375358"/>
    <w:rsid w:val="0037640B"/>
    <w:rsid w:val="00377CE2"/>
    <w:rsid w:val="003923E4"/>
    <w:rsid w:val="004174FA"/>
    <w:rsid w:val="00427890"/>
    <w:rsid w:val="004746CE"/>
    <w:rsid w:val="004841F6"/>
    <w:rsid w:val="00484822"/>
    <w:rsid w:val="004A2958"/>
    <w:rsid w:val="004B44C2"/>
    <w:rsid w:val="004D0B49"/>
    <w:rsid w:val="004E307C"/>
    <w:rsid w:val="005002E9"/>
    <w:rsid w:val="00506F35"/>
    <w:rsid w:val="0050754D"/>
    <w:rsid w:val="005657C0"/>
    <w:rsid w:val="005729ED"/>
    <w:rsid w:val="00587183"/>
    <w:rsid w:val="005932E0"/>
    <w:rsid w:val="005C11CC"/>
    <w:rsid w:val="005C28D2"/>
    <w:rsid w:val="005E2225"/>
    <w:rsid w:val="00642CAA"/>
    <w:rsid w:val="006467A5"/>
    <w:rsid w:val="00674D08"/>
    <w:rsid w:val="0067566F"/>
    <w:rsid w:val="00675F8A"/>
    <w:rsid w:val="00683DBC"/>
    <w:rsid w:val="006B4CAB"/>
    <w:rsid w:val="006C73C9"/>
    <w:rsid w:val="006D3733"/>
    <w:rsid w:val="006E11FF"/>
    <w:rsid w:val="006E3004"/>
    <w:rsid w:val="007034FE"/>
    <w:rsid w:val="00715949"/>
    <w:rsid w:val="00724F42"/>
    <w:rsid w:val="00732298"/>
    <w:rsid w:val="00743616"/>
    <w:rsid w:val="0076311B"/>
    <w:rsid w:val="00790F77"/>
    <w:rsid w:val="007A79CF"/>
    <w:rsid w:val="007B78BA"/>
    <w:rsid w:val="007D1ECA"/>
    <w:rsid w:val="007F0517"/>
    <w:rsid w:val="00806562"/>
    <w:rsid w:val="008563DD"/>
    <w:rsid w:val="00857FC4"/>
    <w:rsid w:val="00872891"/>
    <w:rsid w:val="008C6E41"/>
    <w:rsid w:val="008E7BE6"/>
    <w:rsid w:val="00905084"/>
    <w:rsid w:val="00910E23"/>
    <w:rsid w:val="00923343"/>
    <w:rsid w:val="00930F8D"/>
    <w:rsid w:val="00985488"/>
    <w:rsid w:val="009B65FF"/>
    <w:rsid w:val="009C738D"/>
    <w:rsid w:val="00A14B3B"/>
    <w:rsid w:val="00A34555"/>
    <w:rsid w:val="00A44116"/>
    <w:rsid w:val="00A72ADA"/>
    <w:rsid w:val="00A9467C"/>
    <w:rsid w:val="00AA1ECA"/>
    <w:rsid w:val="00AC0679"/>
    <w:rsid w:val="00AC0F74"/>
    <w:rsid w:val="00AE1E09"/>
    <w:rsid w:val="00B04FFF"/>
    <w:rsid w:val="00B10A03"/>
    <w:rsid w:val="00B12EC4"/>
    <w:rsid w:val="00B139D6"/>
    <w:rsid w:val="00B149D7"/>
    <w:rsid w:val="00B20AA0"/>
    <w:rsid w:val="00B316A5"/>
    <w:rsid w:val="00B46FA0"/>
    <w:rsid w:val="00B97CDB"/>
    <w:rsid w:val="00BB029E"/>
    <w:rsid w:val="00BF5312"/>
    <w:rsid w:val="00C112C6"/>
    <w:rsid w:val="00C122D3"/>
    <w:rsid w:val="00C24B0C"/>
    <w:rsid w:val="00C32608"/>
    <w:rsid w:val="00C53539"/>
    <w:rsid w:val="00C54E51"/>
    <w:rsid w:val="00C61A26"/>
    <w:rsid w:val="00C71E73"/>
    <w:rsid w:val="00C73735"/>
    <w:rsid w:val="00C759E8"/>
    <w:rsid w:val="00C8506B"/>
    <w:rsid w:val="00CB4369"/>
    <w:rsid w:val="00CC5435"/>
    <w:rsid w:val="00CC740F"/>
    <w:rsid w:val="00CE1B23"/>
    <w:rsid w:val="00CE5975"/>
    <w:rsid w:val="00CE60DE"/>
    <w:rsid w:val="00D23778"/>
    <w:rsid w:val="00D25E9E"/>
    <w:rsid w:val="00D27C2A"/>
    <w:rsid w:val="00D4118B"/>
    <w:rsid w:val="00D60E41"/>
    <w:rsid w:val="00D70E42"/>
    <w:rsid w:val="00DA25DE"/>
    <w:rsid w:val="00DB491E"/>
    <w:rsid w:val="00DD7DAB"/>
    <w:rsid w:val="00E55A2A"/>
    <w:rsid w:val="00E56937"/>
    <w:rsid w:val="00E75BD7"/>
    <w:rsid w:val="00E86FF8"/>
    <w:rsid w:val="00EB2603"/>
    <w:rsid w:val="00EC23B2"/>
    <w:rsid w:val="00EF52AA"/>
    <w:rsid w:val="00F06AA7"/>
    <w:rsid w:val="00F376AA"/>
    <w:rsid w:val="00F37CE9"/>
    <w:rsid w:val="00FB6E89"/>
    <w:rsid w:val="00FC43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D8"/>
    <w:pPr>
      <w:spacing w:after="200" w:line="276" w:lineRule="auto"/>
    </w:pPr>
    <w:rPr>
      <w:rFonts w:ascii="Calibri" w:hAnsi="Calibr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034FE"/>
    <w:rPr>
      <w:rFonts w:cs="Times New Roman"/>
    </w:rPr>
  </w:style>
  <w:style w:type="character" w:styleId="CommentReference">
    <w:name w:val="annotation reference"/>
    <w:basedOn w:val="DefaultParagraphFont"/>
    <w:uiPriority w:val="99"/>
    <w:semiHidden/>
    <w:rsid w:val="004B44C2"/>
    <w:rPr>
      <w:rFonts w:cs="Times New Roman"/>
      <w:sz w:val="16"/>
      <w:szCs w:val="16"/>
    </w:rPr>
  </w:style>
  <w:style w:type="paragraph" w:styleId="CommentText">
    <w:name w:val="annotation text"/>
    <w:basedOn w:val="Normal"/>
    <w:link w:val="CommentTextChar"/>
    <w:uiPriority w:val="99"/>
    <w:semiHidden/>
    <w:rsid w:val="004B44C2"/>
    <w:rPr>
      <w:sz w:val="20"/>
      <w:szCs w:val="20"/>
    </w:rPr>
  </w:style>
  <w:style w:type="character" w:customStyle="1" w:styleId="CommentTextChar">
    <w:name w:val="Comment Text Char"/>
    <w:basedOn w:val="DefaultParagraphFont"/>
    <w:link w:val="CommentText"/>
    <w:uiPriority w:val="99"/>
    <w:semiHidden/>
    <w:locked/>
    <w:rsid w:val="00E86FF8"/>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4B44C2"/>
    <w:rPr>
      <w:b/>
      <w:bCs/>
    </w:rPr>
  </w:style>
  <w:style w:type="character" w:customStyle="1" w:styleId="CommentSubjectChar">
    <w:name w:val="Comment Subject Char"/>
    <w:basedOn w:val="CommentTextChar"/>
    <w:link w:val="CommentSubject"/>
    <w:uiPriority w:val="99"/>
    <w:semiHidden/>
    <w:locked/>
    <w:rsid w:val="00E86FF8"/>
    <w:rPr>
      <w:b/>
      <w:bCs/>
    </w:rPr>
  </w:style>
  <w:style w:type="paragraph" w:styleId="BalloonText">
    <w:name w:val="Balloon Text"/>
    <w:basedOn w:val="Normal"/>
    <w:link w:val="BalloonTextChar"/>
    <w:uiPriority w:val="99"/>
    <w:semiHidden/>
    <w:rsid w:val="004B44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FF8"/>
    <w:rPr>
      <w:rFonts w:cs="Times New Roman"/>
      <w:sz w:val="2"/>
      <w:lang w:eastAsia="en-US"/>
    </w:rPr>
  </w:style>
  <w:style w:type="character" w:customStyle="1" w:styleId="a01867dictionarytermdocdashedbottom">
    <w:name w:val="a01867 dictionaryterm docdashedbottom"/>
    <w:basedOn w:val="DefaultParagraphFont"/>
    <w:uiPriority w:val="99"/>
    <w:rsid w:val="004174FA"/>
    <w:rPr>
      <w:rFonts w:cs="Times New Roman"/>
    </w:rPr>
  </w:style>
  <w:style w:type="paragraph" w:customStyle="1" w:styleId="svarticlesection">
    <w:name w:val="svarticle section"/>
    <w:basedOn w:val="Normal"/>
    <w:uiPriority w:val="99"/>
    <w:rsid w:val="00743616"/>
    <w:pPr>
      <w:spacing w:before="100" w:beforeAutospacing="1" w:after="100" w:afterAutospacing="1" w:line="240" w:lineRule="auto"/>
    </w:pPr>
    <w:rPr>
      <w:rFonts w:ascii="Times New Roman" w:hAnsi="Times New Roman"/>
      <w:sz w:val="24"/>
      <w:szCs w:val="24"/>
      <w:lang w:val="en-US" w:eastAsia="ja-JP"/>
    </w:rPr>
  </w:style>
  <w:style w:type="character" w:styleId="Hyperlink">
    <w:name w:val="Hyperlink"/>
    <w:basedOn w:val="DefaultParagraphFont"/>
    <w:uiPriority w:val="99"/>
    <w:rsid w:val="00743616"/>
    <w:rPr>
      <w:rFonts w:cs="Times New Roman"/>
      <w:color w:val="0000FF"/>
      <w:u w:val="single"/>
    </w:rPr>
  </w:style>
  <w:style w:type="character" w:styleId="Emphasis">
    <w:name w:val="Emphasis"/>
    <w:basedOn w:val="DefaultParagraphFont"/>
    <w:uiPriority w:val="99"/>
    <w:qFormat/>
    <w:rsid w:val="008E7BE6"/>
    <w:rPr>
      <w:rFonts w:cs="Times New Roman"/>
      <w:i/>
      <w:iCs/>
    </w:rPr>
  </w:style>
  <w:style w:type="paragraph" w:styleId="NormalWeb">
    <w:name w:val="Normal (Web)"/>
    <w:basedOn w:val="Normal"/>
    <w:uiPriority w:val="99"/>
    <w:rsid w:val="00375358"/>
    <w:pPr>
      <w:spacing w:before="100" w:beforeAutospacing="1" w:after="100" w:afterAutospacing="1" w:line="240" w:lineRule="auto"/>
    </w:pPr>
    <w:rPr>
      <w:rFonts w:ascii="Times New Roman" w:hAnsi="Times New Roman"/>
      <w:sz w:val="24"/>
      <w:szCs w:val="24"/>
      <w:lang w:val="en-US" w:eastAsia="ja-JP"/>
    </w:rPr>
  </w:style>
  <w:style w:type="paragraph" w:customStyle="1" w:styleId="textindent">
    <w:name w:val="textindent"/>
    <w:basedOn w:val="Normal"/>
    <w:uiPriority w:val="99"/>
    <w:rsid w:val="00C759E8"/>
    <w:pPr>
      <w:spacing w:before="100" w:beforeAutospacing="1" w:after="100" w:afterAutospacing="1" w:line="240" w:lineRule="auto"/>
    </w:pPr>
    <w:rPr>
      <w:rFonts w:ascii="Times New Roman" w:hAnsi="Times New Roman"/>
      <w:sz w:val="24"/>
      <w:szCs w:val="24"/>
      <w:lang w:val="en-US" w:eastAsia="ja-JP"/>
    </w:rPr>
  </w:style>
  <w:style w:type="paragraph" w:styleId="Header">
    <w:name w:val="header"/>
    <w:basedOn w:val="Normal"/>
    <w:link w:val="HeaderChar"/>
    <w:uiPriority w:val="99"/>
    <w:rsid w:val="0067566F"/>
    <w:pPr>
      <w:tabs>
        <w:tab w:val="center" w:pos="4320"/>
        <w:tab w:val="right" w:pos="8640"/>
      </w:tabs>
    </w:pPr>
  </w:style>
  <w:style w:type="character" w:customStyle="1" w:styleId="HeaderChar">
    <w:name w:val="Header Char"/>
    <w:basedOn w:val="DefaultParagraphFont"/>
    <w:link w:val="Header"/>
    <w:uiPriority w:val="99"/>
    <w:semiHidden/>
    <w:rsid w:val="00F90B78"/>
    <w:rPr>
      <w:rFonts w:ascii="Calibri" w:hAnsi="Calibri"/>
      <w:lang w:eastAsia="en-US"/>
    </w:rPr>
  </w:style>
  <w:style w:type="paragraph" w:styleId="Footer">
    <w:name w:val="footer"/>
    <w:basedOn w:val="Normal"/>
    <w:link w:val="FooterChar"/>
    <w:uiPriority w:val="99"/>
    <w:rsid w:val="0067566F"/>
    <w:pPr>
      <w:tabs>
        <w:tab w:val="center" w:pos="4320"/>
        <w:tab w:val="right" w:pos="8640"/>
      </w:tabs>
    </w:pPr>
  </w:style>
  <w:style w:type="character" w:customStyle="1" w:styleId="FooterChar">
    <w:name w:val="Footer Char"/>
    <w:basedOn w:val="DefaultParagraphFont"/>
    <w:link w:val="Footer"/>
    <w:uiPriority w:val="99"/>
    <w:rsid w:val="00F90B78"/>
    <w:rPr>
      <w:rFonts w:ascii="Calibri" w:hAnsi="Calibri"/>
      <w:lang w:eastAsia="en-US"/>
    </w:rPr>
  </w:style>
  <w:style w:type="table" w:styleId="TableGrid">
    <w:name w:val="Table Grid"/>
    <w:basedOn w:val="TableNormal"/>
    <w:uiPriority w:val="59"/>
    <w:locked/>
    <w:rsid w:val="005932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809149">
      <w:marLeft w:val="0"/>
      <w:marRight w:val="0"/>
      <w:marTop w:val="0"/>
      <w:marBottom w:val="0"/>
      <w:divBdr>
        <w:top w:val="none" w:sz="0" w:space="0" w:color="auto"/>
        <w:left w:val="none" w:sz="0" w:space="0" w:color="auto"/>
        <w:bottom w:val="none" w:sz="0" w:space="0" w:color="auto"/>
        <w:right w:val="none" w:sz="0" w:space="0" w:color="auto"/>
      </w:divBdr>
    </w:div>
    <w:div w:id="606809150">
      <w:marLeft w:val="0"/>
      <w:marRight w:val="0"/>
      <w:marTop w:val="0"/>
      <w:marBottom w:val="0"/>
      <w:divBdr>
        <w:top w:val="none" w:sz="0" w:space="0" w:color="auto"/>
        <w:left w:val="none" w:sz="0" w:space="0" w:color="auto"/>
        <w:bottom w:val="none" w:sz="0" w:space="0" w:color="auto"/>
        <w:right w:val="none" w:sz="0" w:space="0" w:color="auto"/>
      </w:divBdr>
      <w:divsChild>
        <w:div w:id="606809152">
          <w:marLeft w:val="0"/>
          <w:marRight w:val="0"/>
          <w:marTop w:val="0"/>
          <w:marBottom w:val="0"/>
          <w:divBdr>
            <w:top w:val="none" w:sz="0" w:space="0" w:color="auto"/>
            <w:left w:val="none" w:sz="0" w:space="0" w:color="auto"/>
            <w:bottom w:val="none" w:sz="0" w:space="0" w:color="auto"/>
            <w:right w:val="none" w:sz="0" w:space="0" w:color="auto"/>
          </w:divBdr>
        </w:div>
      </w:divsChild>
    </w:div>
    <w:div w:id="606809154">
      <w:marLeft w:val="0"/>
      <w:marRight w:val="0"/>
      <w:marTop w:val="0"/>
      <w:marBottom w:val="0"/>
      <w:divBdr>
        <w:top w:val="none" w:sz="0" w:space="0" w:color="auto"/>
        <w:left w:val="none" w:sz="0" w:space="0" w:color="auto"/>
        <w:bottom w:val="none" w:sz="0" w:space="0" w:color="auto"/>
        <w:right w:val="none" w:sz="0" w:space="0" w:color="auto"/>
      </w:divBdr>
      <w:divsChild>
        <w:div w:id="606809153">
          <w:marLeft w:val="0"/>
          <w:marRight w:val="0"/>
          <w:marTop w:val="0"/>
          <w:marBottom w:val="0"/>
          <w:divBdr>
            <w:top w:val="none" w:sz="0" w:space="0" w:color="auto"/>
            <w:left w:val="none" w:sz="0" w:space="0" w:color="auto"/>
            <w:bottom w:val="none" w:sz="0" w:space="0" w:color="auto"/>
            <w:right w:val="none" w:sz="0" w:space="0" w:color="auto"/>
          </w:divBdr>
        </w:div>
      </w:divsChild>
    </w:div>
    <w:div w:id="606809155">
      <w:marLeft w:val="0"/>
      <w:marRight w:val="0"/>
      <w:marTop w:val="0"/>
      <w:marBottom w:val="0"/>
      <w:divBdr>
        <w:top w:val="none" w:sz="0" w:space="0" w:color="auto"/>
        <w:left w:val="none" w:sz="0" w:space="0" w:color="auto"/>
        <w:bottom w:val="none" w:sz="0" w:space="0" w:color="auto"/>
        <w:right w:val="none" w:sz="0" w:space="0" w:color="auto"/>
      </w:divBdr>
      <w:divsChild>
        <w:div w:id="606809151">
          <w:marLeft w:val="0"/>
          <w:marRight w:val="0"/>
          <w:marTop w:val="0"/>
          <w:marBottom w:val="0"/>
          <w:divBdr>
            <w:top w:val="none" w:sz="0" w:space="0" w:color="auto"/>
            <w:left w:val="none" w:sz="0" w:space="0" w:color="auto"/>
            <w:bottom w:val="none" w:sz="0" w:space="0" w:color="auto"/>
            <w:right w:val="none" w:sz="0" w:space="0" w:color="auto"/>
          </w:divBdr>
        </w:div>
      </w:divsChild>
    </w:div>
    <w:div w:id="606809156">
      <w:marLeft w:val="0"/>
      <w:marRight w:val="0"/>
      <w:marTop w:val="0"/>
      <w:marBottom w:val="0"/>
      <w:divBdr>
        <w:top w:val="none" w:sz="0" w:space="0" w:color="auto"/>
        <w:left w:val="none" w:sz="0" w:space="0" w:color="auto"/>
        <w:bottom w:val="none" w:sz="0" w:space="0" w:color="auto"/>
        <w:right w:val="none" w:sz="0" w:space="0" w:color="auto"/>
      </w:divBdr>
    </w:div>
    <w:div w:id="60680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7C4D-A892-4341-BBCF-A80CCF84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WORKING TITLE: A context-dependent view of anchoring: The Effect of Consumer Adaptation of Incidental Environmental Anchors on Willingness to Pay</vt:lpstr>
    </vt:vector>
  </TitlesOfParts>
  <Company>Sabancı University</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A context-dependent view of anchoring: The Effect of Consumer Adaptation of Incidental Environmental Anchors on Willingness to Pay</dc:title>
  <dc:creator>Kıvılcım Döğerlioğlu Demir</dc:creator>
  <cp:lastModifiedBy>Kıvılcım Döğerlioğlu Demir</cp:lastModifiedBy>
  <cp:revision>10</cp:revision>
  <dcterms:created xsi:type="dcterms:W3CDTF">2014-02-05T10:54:00Z</dcterms:created>
  <dcterms:modified xsi:type="dcterms:W3CDTF">2014-06-25T08:26:00Z</dcterms:modified>
</cp:coreProperties>
</file>