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05" w:rsidRPr="00C11A3F" w:rsidRDefault="008E1605" w:rsidP="00AB7AE6">
      <w:pPr>
        <w:pStyle w:val="BodyText"/>
        <w:ind w:firstLine="720"/>
        <w:jc w:val="center"/>
        <w:rPr>
          <w:b/>
          <w:sz w:val="24"/>
          <w:szCs w:val="22"/>
          <w:lang w:val="tr-TR"/>
        </w:rPr>
      </w:pPr>
      <w:bookmarkStart w:id="0" w:name="_GoBack"/>
      <w:r w:rsidRPr="00C11A3F">
        <w:rPr>
          <w:b/>
          <w:sz w:val="24"/>
          <w:szCs w:val="22"/>
          <w:lang w:val="tr-TR"/>
        </w:rPr>
        <w:t xml:space="preserve">KÜRT </w:t>
      </w:r>
      <w:r>
        <w:rPr>
          <w:b/>
          <w:sz w:val="24"/>
          <w:szCs w:val="22"/>
          <w:lang w:val="tr-TR"/>
        </w:rPr>
        <w:t>MESELESİNE</w:t>
      </w:r>
      <w:r w:rsidRPr="00C11A3F">
        <w:rPr>
          <w:b/>
          <w:sz w:val="24"/>
          <w:szCs w:val="22"/>
          <w:lang w:val="tr-TR"/>
        </w:rPr>
        <w:t xml:space="preserve"> TOPLUMSAL MUTABAKAT AÇISINDAN BİR BAKIŞ</w:t>
      </w:r>
    </w:p>
    <w:p w:rsidR="008E1605" w:rsidRDefault="008E1605" w:rsidP="002F3764">
      <w:pPr>
        <w:pStyle w:val="BodyText"/>
        <w:ind w:firstLine="720"/>
        <w:jc w:val="both"/>
        <w:rPr>
          <w:sz w:val="24"/>
          <w:szCs w:val="22"/>
          <w:lang w:val="tr-TR"/>
        </w:rPr>
      </w:pPr>
    </w:p>
    <w:p w:rsidR="008E1605" w:rsidRDefault="008E1605" w:rsidP="002F3764">
      <w:pPr>
        <w:pStyle w:val="BodyText"/>
        <w:ind w:firstLine="720"/>
        <w:jc w:val="both"/>
        <w:rPr>
          <w:sz w:val="24"/>
          <w:szCs w:val="22"/>
          <w:lang w:val="tr-TR"/>
        </w:rPr>
      </w:pPr>
      <w:r>
        <w:rPr>
          <w:sz w:val="24"/>
          <w:szCs w:val="22"/>
          <w:lang w:val="tr-TR"/>
        </w:rPr>
        <w:t>İçinde bulunduğumuz, bazılarının “Barış Süreci” bazılarının ise “Müzakere Süreci” dediği süreçte öne çıkan ve özellikle Kürtlerin dile getirdiği geçmişle yüzleşme meselesi aslında birçok sosyal bilimler disiplinince çok boyutlu çalışılan bir konu. Fakat Öcalan’ın isteği sonrası son birkaç yıldır özellikle Kürt politikacılar ve sivil toplum tarafından geçmişle yüzleşmenin bir metodu olarak istenen hakik</w:t>
      </w:r>
      <w:r>
        <w:rPr>
          <w:rFonts w:ascii="Microsoft Sans Serif" w:hAnsi="Microsoft Sans Serif" w:cs="Microsoft Sans Serif"/>
          <w:sz w:val="24"/>
          <w:szCs w:val="22"/>
          <w:lang w:val="tr-TR"/>
        </w:rPr>
        <w:t>ȃ</w:t>
      </w:r>
      <w:r>
        <w:rPr>
          <w:sz w:val="24"/>
          <w:szCs w:val="22"/>
          <w:lang w:val="tr-TR"/>
        </w:rPr>
        <w:t xml:space="preserve">t komisyonları, geçmişle yüzleşmenin sadece bir yöntemi. Bu yazıda bir yandan geçmişle yüzleşmenin toplumsal travmaları aşmanın önemli ve gerekli bir şartı olduğundan bahsederken bir yandan da bunun yapılarak toplumsal mutabakatın sağlanmasının hakikat komisyonları dışında birçok yolu olduğundan bahsedeceğim. </w:t>
      </w:r>
    </w:p>
    <w:p w:rsidR="008E1605" w:rsidRPr="00A94924" w:rsidRDefault="008E1605" w:rsidP="008D21CC">
      <w:pPr>
        <w:pStyle w:val="BodyText"/>
        <w:ind w:firstLine="720"/>
        <w:jc w:val="both"/>
        <w:rPr>
          <w:sz w:val="24"/>
          <w:szCs w:val="22"/>
          <w:lang w:val="tr-TR"/>
        </w:rPr>
      </w:pPr>
      <w:r>
        <w:rPr>
          <w:sz w:val="24"/>
          <w:szCs w:val="22"/>
          <w:lang w:val="tr-TR"/>
        </w:rPr>
        <w:t>Uzun süren çatışmalı süreçler,</w:t>
      </w:r>
      <w:r w:rsidRPr="00A94924">
        <w:rPr>
          <w:sz w:val="24"/>
          <w:szCs w:val="22"/>
          <w:lang w:val="tr-TR"/>
        </w:rPr>
        <w:t xml:space="preserve"> hem direk</w:t>
      </w:r>
      <w:r>
        <w:rPr>
          <w:sz w:val="24"/>
          <w:szCs w:val="22"/>
          <w:lang w:val="tr-TR"/>
        </w:rPr>
        <w:t>t</w:t>
      </w:r>
      <w:r w:rsidRPr="00A94924">
        <w:rPr>
          <w:sz w:val="24"/>
          <w:szCs w:val="22"/>
          <w:lang w:val="tr-TR"/>
        </w:rPr>
        <w:t xml:space="preserve"> hem de yapısal şiddetin</w:t>
      </w:r>
      <w:r>
        <w:rPr>
          <w:rStyle w:val="FootnoteReference"/>
          <w:sz w:val="24"/>
          <w:szCs w:val="22"/>
          <w:lang w:val="tr-TR"/>
        </w:rPr>
        <w:footnoteReference w:id="1"/>
      </w:r>
      <w:r w:rsidRPr="00A94924">
        <w:rPr>
          <w:sz w:val="24"/>
          <w:szCs w:val="22"/>
          <w:lang w:val="tr-TR"/>
        </w:rPr>
        <w:t xml:space="preserve"> bir sonucu olarak ortaya çıkan bir durumdur</w:t>
      </w:r>
      <w:r>
        <w:rPr>
          <w:sz w:val="24"/>
          <w:szCs w:val="22"/>
          <w:lang w:val="tr-TR"/>
        </w:rPr>
        <w:t xml:space="preserve">. Bu iki tür aynı zamanda çatışmaların temelini de oluşturabilir. Yani şiddet, çatışmayla aynı şey değildir. Fakat, özellikle yapısal şiddetin varlığı, çatışmalı dönemde direkt şiddeti besleyebilir ve bu içinden çıkılamayan bir kısırdöngü yaratabilir. Yapısal </w:t>
      </w:r>
      <w:r>
        <w:rPr>
          <w:rFonts w:ascii="Tahoma" w:hAnsi="Tahoma" w:cs="Tahoma"/>
          <w:sz w:val="24"/>
          <w:szCs w:val="22"/>
          <w:lang w:val="tr-TR"/>
        </w:rPr>
        <w:t>ṣ</w:t>
      </w:r>
      <w:r>
        <w:rPr>
          <w:sz w:val="24"/>
          <w:szCs w:val="22"/>
          <w:lang w:val="tr-TR"/>
        </w:rPr>
        <w:t>iddet, bir gruba yönelik toplumsal yapı veya kurumların o grubun temel ihtiyaçlarını kısıtlamasıdır.</w:t>
      </w:r>
      <w:r w:rsidRPr="00A94924">
        <w:rPr>
          <w:sz w:val="24"/>
          <w:szCs w:val="22"/>
          <w:lang w:val="tr-TR"/>
        </w:rPr>
        <w:t xml:space="preserve"> </w:t>
      </w:r>
      <w:r>
        <w:rPr>
          <w:sz w:val="24"/>
          <w:szCs w:val="22"/>
          <w:lang w:val="tr-TR"/>
        </w:rPr>
        <w:t xml:space="preserve">Çatışmalı süreç, sadece bedene yönelik </w:t>
      </w:r>
      <w:r>
        <w:rPr>
          <w:rFonts w:ascii="Tahoma" w:hAnsi="Tahoma" w:cs="Tahoma"/>
          <w:sz w:val="24"/>
          <w:szCs w:val="22"/>
          <w:lang w:val="tr-TR"/>
        </w:rPr>
        <w:t>ṣ</w:t>
      </w:r>
      <w:r>
        <w:rPr>
          <w:sz w:val="24"/>
          <w:szCs w:val="22"/>
          <w:lang w:val="tr-TR"/>
        </w:rPr>
        <w:t>iddet değil aynı zamanda grubun kimliğine ve varolu</w:t>
      </w:r>
      <w:r>
        <w:rPr>
          <w:rFonts w:ascii="Tahoma" w:hAnsi="Tahoma" w:cs="Tahoma"/>
          <w:sz w:val="24"/>
          <w:szCs w:val="22"/>
          <w:lang w:val="tr-TR"/>
        </w:rPr>
        <w:t>ṣ</w:t>
      </w:r>
      <w:r>
        <w:rPr>
          <w:sz w:val="24"/>
          <w:szCs w:val="22"/>
          <w:lang w:val="tr-TR"/>
        </w:rPr>
        <w:t>una yönelik tehditler olu</w:t>
      </w:r>
      <w:r>
        <w:rPr>
          <w:rFonts w:ascii="Tahoma" w:hAnsi="Tahoma" w:cs="Tahoma"/>
          <w:sz w:val="24"/>
          <w:szCs w:val="22"/>
          <w:lang w:val="tr-TR"/>
        </w:rPr>
        <w:t>ṣ</w:t>
      </w:r>
      <w:r>
        <w:rPr>
          <w:sz w:val="24"/>
          <w:szCs w:val="22"/>
          <w:lang w:val="tr-TR"/>
        </w:rPr>
        <w:t xml:space="preserve">ur. Bu ortamlardaki hakim duygu </w:t>
      </w:r>
      <w:r w:rsidRPr="00CD5BB1">
        <w:rPr>
          <w:i/>
          <w:sz w:val="24"/>
          <w:szCs w:val="22"/>
          <w:lang w:val="tr-TR"/>
        </w:rPr>
        <w:t>güvensizlik</w:t>
      </w:r>
      <w:r w:rsidRPr="00A94924">
        <w:rPr>
          <w:sz w:val="24"/>
          <w:szCs w:val="22"/>
          <w:lang w:val="tr-TR"/>
        </w:rPr>
        <w:t xml:space="preserve">, </w:t>
      </w:r>
      <w:r w:rsidRPr="00CD5BB1">
        <w:rPr>
          <w:i/>
          <w:sz w:val="24"/>
          <w:szCs w:val="22"/>
          <w:lang w:val="tr-TR"/>
        </w:rPr>
        <w:t>güçsüzlük hissi</w:t>
      </w:r>
      <w:r w:rsidRPr="00A94924">
        <w:rPr>
          <w:sz w:val="24"/>
          <w:szCs w:val="22"/>
          <w:lang w:val="tr-TR"/>
        </w:rPr>
        <w:t xml:space="preserve">, </w:t>
      </w:r>
      <w:r w:rsidRPr="00CD5BB1">
        <w:rPr>
          <w:i/>
          <w:sz w:val="24"/>
          <w:szCs w:val="22"/>
          <w:lang w:val="tr-TR"/>
        </w:rPr>
        <w:t>mağduriyet</w:t>
      </w:r>
      <w:r w:rsidRPr="00A94924">
        <w:rPr>
          <w:sz w:val="24"/>
          <w:szCs w:val="22"/>
          <w:lang w:val="tr-TR"/>
        </w:rPr>
        <w:t xml:space="preserve"> ve </w:t>
      </w:r>
      <w:r w:rsidRPr="00CD5BB1">
        <w:rPr>
          <w:i/>
          <w:sz w:val="24"/>
          <w:szCs w:val="22"/>
          <w:lang w:val="tr-TR"/>
        </w:rPr>
        <w:t>korku</w:t>
      </w:r>
      <w:r>
        <w:rPr>
          <w:sz w:val="24"/>
          <w:szCs w:val="22"/>
          <w:lang w:val="tr-TR"/>
        </w:rPr>
        <w:t>dur</w:t>
      </w:r>
      <w:r w:rsidRPr="00A94924">
        <w:rPr>
          <w:sz w:val="24"/>
          <w:szCs w:val="22"/>
          <w:lang w:val="tr-TR"/>
        </w:rPr>
        <w:t xml:space="preserve">. </w:t>
      </w:r>
      <w:r>
        <w:rPr>
          <w:sz w:val="24"/>
          <w:szCs w:val="22"/>
          <w:lang w:val="tr-TR"/>
        </w:rPr>
        <w:t xml:space="preserve">Bu duygular çoğunlukla bazı grupların toplumsal düzeyde </w:t>
      </w:r>
      <w:r w:rsidRPr="00A94924">
        <w:rPr>
          <w:sz w:val="24"/>
          <w:szCs w:val="22"/>
          <w:lang w:val="tr-TR"/>
        </w:rPr>
        <w:t>ötekileştirilmesine yol açar.</w:t>
      </w:r>
    </w:p>
    <w:p w:rsidR="008E1605" w:rsidRPr="00CD6EEF" w:rsidRDefault="008E1605" w:rsidP="002F3764">
      <w:pPr>
        <w:pStyle w:val="BodyText"/>
        <w:ind w:firstLine="720"/>
        <w:jc w:val="both"/>
        <w:rPr>
          <w:sz w:val="24"/>
          <w:szCs w:val="24"/>
          <w:lang w:val="tr-TR"/>
        </w:rPr>
      </w:pPr>
      <w:r>
        <w:rPr>
          <w:sz w:val="24"/>
          <w:szCs w:val="22"/>
          <w:lang w:val="tr-TR"/>
        </w:rPr>
        <w:t>H</w:t>
      </w:r>
      <w:r w:rsidRPr="00A94924">
        <w:rPr>
          <w:sz w:val="24"/>
          <w:szCs w:val="22"/>
          <w:lang w:val="tr-TR"/>
        </w:rPr>
        <w:t xml:space="preserve">em </w:t>
      </w:r>
      <w:r>
        <w:rPr>
          <w:sz w:val="24"/>
          <w:szCs w:val="22"/>
          <w:lang w:val="tr-TR"/>
        </w:rPr>
        <w:t>çatışmaya</w:t>
      </w:r>
      <w:r w:rsidRPr="00A94924">
        <w:rPr>
          <w:sz w:val="24"/>
          <w:szCs w:val="22"/>
          <w:lang w:val="tr-TR"/>
        </w:rPr>
        <w:t xml:space="preserve"> yol açan deneyimler, hem de bunlara karşı verilen tepkiler, özellikle şiddetli bir çatışma bölgesinde, kişiden kişiye</w:t>
      </w:r>
      <w:r>
        <w:rPr>
          <w:sz w:val="24"/>
          <w:szCs w:val="22"/>
          <w:lang w:val="tr-TR"/>
        </w:rPr>
        <w:t xml:space="preserve"> ve toplumdan topluma</w:t>
      </w:r>
      <w:r w:rsidRPr="00A94924">
        <w:rPr>
          <w:sz w:val="24"/>
          <w:szCs w:val="22"/>
          <w:lang w:val="tr-TR"/>
        </w:rPr>
        <w:t xml:space="preserve"> büyük değişiklik gösterir. Süregelen bu zor koşulların sadece bireyler için değil, toplumun geneli için de çok ciddi psikolojik, ruhsal, toplumsal, ekonomik ve politik sonuçları </w:t>
      </w:r>
      <w:r w:rsidRPr="00F13338">
        <w:rPr>
          <w:sz w:val="24"/>
          <w:szCs w:val="24"/>
          <w:lang w:val="tr-TR"/>
        </w:rPr>
        <w:t>vard</w:t>
      </w:r>
      <w:r w:rsidRPr="000841AE">
        <w:rPr>
          <w:sz w:val="24"/>
          <w:szCs w:val="24"/>
          <w:lang w:val="tr-TR"/>
        </w:rPr>
        <w:t xml:space="preserve">ır. </w:t>
      </w:r>
      <w:r w:rsidRPr="00CD6EEF">
        <w:rPr>
          <w:sz w:val="24"/>
          <w:szCs w:val="24"/>
          <w:lang w:val="tr-TR"/>
        </w:rPr>
        <w:t>Bu sorunları bertaraf etmek ve bir daha yaşanmalarına engel olmak için deği</w:t>
      </w:r>
      <w:r w:rsidRPr="00CD6EEF">
        <w:rPr>
          <w:rFonts w:ascii="Tahoma" w:hAnsi="Tahoma" w:cs="Tahoma"/>
          <w:sz w:val="24"/>
          <w:szCs w:val="24"/>
          <w:lang w:val="tr-TR"/>
        </w:rPr>
        <w:t>ṣ</w:t>
      </w:r>
      <w:r w:rsidRPr="00CD6EEF">
        <w:rPr>
          <w:sz w:val="24"/>
          <w:szCs w:val="24"/>
          <w:lang w:val="tr-TR"/>
        </w:rPr>
        <w:t xml:space="preserve">ik toplumsal mutabakat modellerine ihtiyaç vardır. </w:t>
      </w:r>
    </w:p>
    <w:p w:rsidR="008E1605" w:rsidRPr="00753DE5" w:rsidRDefault="008E1605" w:rsidP="00C81A80">
      <w:pPr>
        <w:pStyle w:val="BodyText"/>
        <w:ind w:firstLine="720"/>
        <w:jc w:val="both"/>
        <w:rPr>
          <w:sz w:val="24"/>
          <w:szCs w:val="24"/>
          <w:lang w:val="tr-TR"/>
        </w:rPr>
      </w:pPr>
      <w:r w:rsidRPr="00753DE5">
        <w:rPr>
          <w:sz w:val="24"/>
          <w:szCs w:val="24"/>
          <w:lang w:val="tr-TR"/>
        </w:rPr>
        <w:t>Bu toplumsal modelleri tartı</w:t>
      </w:r>
      <w:r w:rsidRPr="00753DE5">
        <w:rPr>
          <w:rFonts w:ascii="Tahoma" w:hAnsi="Tahoma" w:cs="Tahoma"/>
          <w:sz w:val="24"/>
          <w:szCs w:val="24"/>
          <w:lang w:val="tr-TR"/>
        </w:rPr>
        <w:t>ṣ</w:t>
      </w:r>
      <w:r w:rsidRPr="00753DE5">
        <w:rPr>
          <w:sz w:val="24"/>
          <w:szCs w:val="24"/>
          <w:lang w:val="tr-TR"/>
        </w:rPr>
        <w:t xml:space="preserve">madan önce toplumsal mutabakatı tanımlamak gerekir. </w:t>
      </w:r>
      <w:r w:rsidRPr="00753DE5">
        <w:rPr>
          <w:rFonts w:eastAsia="GaramondLight"/>
          <w:sz w:val="24"/>
          <w:szCs w:val="24"/>
          <w:lang w:val="tr-TR"/>
        </w:rPr>
        <w:t xml:space="preserve">Toplumsal mutabakat, Louis Kriesberg tarafından </w:t>
      </w:r>
      <w:r w:rsidRPr="00753DE5">
        <w:rPr>
          <w:rFonts w:ascii="Tahoma" w:eastAsia="GaramondLight" w:hAnsi="Tahoma" w:cs="Tahoma"/>
          <w:sz w:val="24"/>
          <w:szCs w:val="24"/>
          <w:lang w:val="tr-TR"/>
        </w:rPr>
        <w:t>ṣ</w:t>
      </w:r>
      <w:r w:rsidRPr="00753DE5">
        <w:rPr>
          <w:rFonts w:eastAsia="GaramondLight"/>
          <w:sz w:val="24"/>
          <w:szCs w:val="24"/>
          <w:lang w:val="tr-TR"/>
        </w:rPr>
        <w:t>öyle tanımlanıyor: “Baskıcı bir ili</w:t>
      </w:r>
      <w:r w:rsidRPr="00753DE5">
        <w:rPr>
          <w:rFonts w:ascii="Tahoma" w:eastAsia="GaramondLight" w:hAnsi="Tahoma" w:cs="Tahoma"/>
          <w:sz w:val="24"/>
          <w:szCs w:val="24"/>
          <w:lang w:val="tr-TR"/>
        </w:rPr>
        <w:t>ṣ</w:t>
      </w:r>
      <w:r w:rsidRPr="00753DE5">
        <w:rPr>
          <w:rFonts w:eastAsia="GaramondLight"/>
          <w:sz w:val="24"/>
          <w:szCs w:val="24"/>
          <w:lang w:val="tr-TR"/>
        </w:rPr>
        <w:t>ki ya</w:t>
      </w:r>
      <w:r w:rsidRPr="00753DE5">
        <w:rPr>
          <w:rFonts w:ascii="Tahoma" w:eastAsia="GaramondLight" w:hAnsi="Tahoma" w:cs="Tahoma"/>
          <w:sz w:val="24"/>
          <w:szCs w:val="24"/>
          <w:lang w:val="tr-TR"/>
        </w:rPr>
        <w:t>ṣ</w:t>
      </w:r>
      <w:r w:rsidRPr="00753DE5">
        <w:rPr>
          <w:rFonts w:eastAsia="GaramondLight"/>
          <w:sz w:val="24"/>
          <w:szCs w:val="24"/>
          <w:lang w:val="tr-TR"/>
        </w:rPr>
        <w:t>amı</w:t>
      </w:r>
      <w:r w:rsidRPr="00753DE5">
        <w:rPr>
          <w:rFonts w:ascii="Tahoma" w:eastAsia="GaramondLight" w:hAnsi="Tahoma" w:cs="Tahoma"/>
          <w:sz w:val="24"/>
          <w:szCs w:val="24"/>
          <w:lang w:val="tr-TR"/>
        </w:rPr>
        <w:t>ṣ</w:t>
      </w:r>
      <w:r w:rsidRPr="00753DE5">
        <w:rPr>
          <w:rFonts w:eastAsia="GaramondLight"/>
          <w:sz w:val="24"/>
          <w:szCs w:val="24"/>
          <w:lang w:val="tr-TR"/>
        </w:rPr>
        <w:t xml:space="preserve"> ya da birbirleriyle yıkıcı bir ili</w:t>
      </w:r>
      <w:r w:rsidRPr="00753DE5">
        <w:rPr>
          <w:rFonts w:ascii="Tahoma" w:eastAsia="GaramondLight" w:hAnsi="Tahoma" w:cs="Tahoma"/>
          <w:sz w:val="24"/>
          <w:szCs w:val="24"/>
          <w:lang w:val="tr-TR"/>
        </w:rPr>
        <w:t>ṣ</w:t>
      </w:r>
      <w:r w:rsidRPr="00753DE5">
        <w:rPr>
          <w:rFonts w:eastAsia="GaramondLight"/>
          <w:sz w:val="24"/>
          <w:szCs w:val="24"/>
          <w:lang w:val="tr-TR"/>
        </w:rPr>
        <w:t>kide bulunmu</w:t>
      </w:r>
      <w:r w:rsidRPr="00753DE5">
        <w:rPr>
          <w:rFonts w:ascii="Tahoma" w:eastAsia="GaramondLight" w:hAnsi="Tahoma" w:cs="Tahoma"/>
          <w:sz w:val="24"/>
          <w:szCs w:val="24"/>
          <w:lang w:val="tr-TR"/>
        </w:rPr>
        <w:t>ṣ</w:t>
      </w:r>
      <w:r w:rsidRPr="00753DE5">
        <w:rPr>
          <w:rFonts w:eastAsia="GaramondLight"/>
          <w:sz w:val="24"/>
          <w:szCs w:val="24"/>
          <w:lang w:val="tr-TR"/>
        </w:rPr>
        <w:t xml:space="preserve"> tarafların ko</w:t>
      </w:r>
      <w:r w:rsidRPr="00753DE5">
        <w:rPr>
          <w:rFonts w:ascii="Tahoma" w:eastAsia="GaramondLight" w:hAnsi="Tahoma" w:cs="Tahoma"/>
          <w:sz w:val="24"/>
          <w:szCs w:val="24"/>
          <w:lang w:val="tr-TR"/>
        </w:rPr>
        <w:t>ṣ</w:t>
      </w:r>
      <w:r w:rsidRPr="00753DE5">
        <w:rPr>
          <w:rFonts w:eastAsia="GaramondLight"/>
          <w:sz w:val="24"/>
          <w:szCs w:val="24"/>
          <w:lang w:val="tr-TR"/>
        </w:rPr>
        <w:t>ulları en azından ‘minimal’de kabul edilmi</w:t>
      </w:r>
      <w:r w:rsidRPr="00753DE5">
        <w:rPr>
          <w:rFonts w:ascii="Tahoma" w:eastAsia="GaramondLight" w:hAnsi="Tahoma" w:cs="Tahoma"/>
          <w:sz w:val="24"/>
          <w:szCs w:val="24"/>
          <w:lang w:val="tr-TR"/>
        </w:rPr>
        <w:t>ṣ</w:t>
      </w:r>
      <w:r w:rsidRPr="00753DE5">
        <w:rPr>
          <w:rFonts w:eastAsia="GaramondLight"/>
          <w:sz w:val="24"/>
          <w:szCs w:val="24"/>
          <w:lang w:val="tr-TR"/>
        </w:rPr>
        <w:t xml:space="preserve"> bir ili</w:t>
      </w:r>
      <w:r w:rsidRPr="00753DE5">
        <w:rPr>
          <w:rFonts w:ascii="Tahoma" w:eastAsia="GaramondLight" w:hAnsi="Tahoma" w:cs="Tahoma"/>
          <w:sz w:val="24"/>
          <w:szCs w:val="24"/>
          <w:lang w:val="tr-TR"/>
        </w:rPr>
        <w:t>ṣ</w:t>
      </w:r>
      <w:r w:rsidRPr="00753DE5">
        <w:rPr>
          <w:rFonts w:eastAsia="GaramondLight"/>
          <w:sz w:val="24"/>
          <w:szCs w:val="24"/>
          <w:lang w:val="tr-TR"/>
        </w:rPr>
        <w:t>kiye girmeyi ya da b</w:t>
      </w:r>
      <w:r>
        <w:rPr>
          <w:rFonts w:eastAsia="GaramondLight"/>
          <w:sz w:val="24"/>
          <w:szCs w:val="24"/>
          <w:lang w:val="tr-TR"/>
        </w:rPr>
        <w:t>ö</w:t>
      </w:r>
      <w:r w:rsidRPr="00753DE5">
        <w:rPr>
          <w:rFonts w:eastAsia="GaramondLight"/>
          <w:sz w:val="24"/>
          <w:szCs w:val="24"/>
          <w:lang w:val="tr-TR"/>
        </w:rPr>
        <w:t>yle bir ili</w:t>
      </w:r>
      <w:r w:rsidRPr="00753DE5">
        <w:rPr>
          <w:rFonts w:ascii="Tahoma" w:eastAsia="GaramondLight" w:hAnsi="Tahoma" w:cs="Tahoma"/>
          <w:sz w:val="24"/>
          <w:szCs w:val="24"/>
          <w:lang w:val="tr-TR"/>
        </w:rPr>
        <w:t>ṣ</w:t>
      </w:r>
      <w:r w:rsidRPr="00753DE5">
        <w:rPr>
          <w:rFonts w:eastAsia="GaramondLight"/>
          <w:sz w:val="24"/>
          <w:szCs w:val="24"/>
          <w:lang w:val="tr-TR"/>
        </w:rPr>
        <w:t>ki kurmayı kabul etme s</w:t>
      </w:r>
      <w:r>
        <w:rPr>
          <w:rFonts w:eastAsia="GaramondLight"/>
          <w:sz w:val="24"/>
          <w:szCs w:val="24"/>
          <w:lang w:val="tr-TR"/>
        </w:rPr>
        <w:t>ü</w:t>
      </w:r>
      <w:r w:rsidRPr="00753DE5">
        <w:rPr>
          <w:rFonts w:eastAsia="GaramondLight"/>
          <w:sz w:val="24"/>
          <w:szCs w:val="24"/>
          <w:lang w:val="tr-TR"/>
        </w:rPr>
        <w:t>reci. Bu s</w:t>
      </w:r>
      <w:r>
        <w:rPr>
          <w:rFonts w:eastAsia="GaramondLight"/>
          <w:sz w:val="24"/>
          <w:szCs w:val="24"/>
          <w:lang w:val="tr-TR"/>
        </w:rPr>
        <w:t>ü</w:t>
      </w:r>
      <w:r w:rsidRPr="00753DE5">
        <w:rPr>
          <w:rFonts w:eastAsia="GaramondLight"/>
          <w:sz w:val="24"/>
          <w:szCs w:val="24"/>
          <w:lang w:val="tr-TR"/>
        </w:rPr>
        <w:t>recin d</w:t>
      </w:r>
      <w:r>
        <w:rPr>
          <w:rFonts w:eastAsia="GaramondLight"/>
          <w:sz w:val="24"/>
          <w:szCs w:val="24"/>
          <w:lang w:val="tr-TR"/>
        </w:rPr>
        <w:t>ö</w:t>
      </w:r>
      <w:r w:rsidRPr="00753DE5">
        <w:rPr>
          <w:rFonts w:eastAsia="GaramondLight"/>
          <w:sz w:val="24"/>
          <w:szCs w:val="24"/>
          <w:lang w:val="tr-TR"/>
        </w:rPr>
        <w:t>rt boyutu vardır: i) ger</w:t>
      </w:r>
      <w:r>
        <w:rPr>
          <w:rFonts w:eastAsia="GaramondLight"/>
          <w:sz w:val="24"/>
          <w:szCs w:val="24"/>
          <w:lang w:val="tr-TR"/>
        </w:rPr>
        <w:t>ç</w:t>
      </w:r>
      <w:r w:rsidRPr="00753DE5">
        <w:rPr>
          <w:rFonts w:eastAsia="GaramondLight"/>
          <w:sz w:val="24"/>
          <w:szCs w:val="24"/>
          <w:lang w:val="tr-TR"/>
        </w:rPr>
        <w:t>ek; ii) adalet; iii) af dileme/affetme; ve iv) ki</w:t>
      </w:r>
      <w:r w:rsidRPr="00753DE5">
        <w:rPr>
          <w:rFonts w:ascii="Tahoma" w:eastAsia="GaramondLight" w:hAnsi="Tahoma" w:cs="Tahoma"/>
          <w:sz w:val="24"/>
          <w:szCs w:val="24"/>
          <w:lang w:val="tr-TR"/>
        </w:rPr>
        <w:t>ṣ</w:t>
      </w:r>
      <w:r w:rsidRPr="00753DE5">
        <w:rPr>
          <w:rFonts w:eastAsia="GaramondLight"/>
          <w:sz w:val="24"/>
          <w:szCs w:val="24"/>
          <w:lang w:val="tr-TR"/>
        </w:rPr>
        <w:t>i ya da grup g</w:t>
      </w:r>
      <w:r>
        <w:rPr>
          <w:rFonts w:eastAsia="GaramondLight"/>
          <w:sz w:val="24"/>
          <w:szCs w:val="24"/>
          <w:lang w:val="tr-TR"/>
        </w:rPr>
        <w:t>ü</w:t>
      </w:r>
      <w:r w:rsidRPr="00753DE5">
        <w:rPr>
          <w:rFonts w:eastAsia="GaramondLight"/>
          <w:sz w:val="24"/>
          <w:szCs w:val="24"/>
          <w:lang w:val="tr-TR"/>
        </w:rPr>
        <w:t>venliği (Kriesberg, 2001: 48). Gene bu konuda uluslararası söze sahip Paul Lederach’a g</w:t>
      </w:r>
      <w:r>
        <w:rPr>
          <w:rFonts w:eastAsia="GaramondLight"/>
          <w:sz w:val="24"/>
          <w:szCs w:val="24"/>
          <w:lang w:val="tr-TR"/>
        </w:rPr>
        <w:t>ö</w:t>
      </w:r>
      <w:r w:rsidRPr="00753DE5">
        <w:rPr>
          <w:rFonts w:eastAsia="GaramondLight"/>
          <w:sz w:val="24"/>
          <w:szCs w:val="24"/>
          <w:lang w:val="tr-TR"/>
        </w:rPr>
        <w:t>re, toplumların birlikte ya</w:t>
      </w:r>
      <w:r w:rsidRPr="00753DE5">
        <w:rPr>
          <w:rFonts w:ascii="Tahoma" w:eastAsia="GaramondLight" w:hAnsi="Tahoma" w:cs="Tahoma"/>
          <w:sz w:val="24"/>
          <w:szCs w:val="24"/>
          <w:lang w:val="tr-TR"/>
        </w:rPr>
        <w:t>ṣ</w:t>
      </w:r>
      <w:r w:rsidRPr="00753DE5">
        <w:rPr>
          <w:rFonts w:eastAsia="GaramondLight"/>
          <w:sz w:val="24"/>
          <w:szCs w:val="24"/>
          <w:lang w:val="tr-TR"/>
        </w:rPr>
        <w:t>aması, güven, empati (duyguda</w:t>
      </w:r>
      <w:r w:rsidRPr="00753DE5">
        <w:rPr>
          <w:rFonts w:ascii="Tahoma" w:eastAsia="GaramondLight" w:hAnsi="Tahoma" w:cs="Tahoma"/>
          <w:sz w:val="24"/>
          <w:szCs w:val="24"/>
          <w:lang w:val="tr-TR"/>
        </w:rPr>
        <w:t>ṣ</w:t>
      </w:r>
      <w:r w:rsidRPr="00753DE5">
        <w:rPr>
          <w:rFonts w:eastAsia="GaramondLight"/>
          <w:sz w:val="24"/>
          <w:szCs w:val="24"/>
          <w:lang w:val="tr-TR"/>
        </w:rPr>
        <w:t>lık) ve demokrasi kültürünün olu</w:t>
      </w:r>
      <w:r w:rsidRPr="00753DE5">
        <w:rPr>
          <w:rFonts w:ascii="Tahoma" w:eastAsia="GaramondLight" w:hAnsi="Tahoma" w:cs="Tahoma"/>
          <w:sz w:val="24"/>
          <w:szCs w:val="24"/>
          <w:lang w:val="tr-TR"/>
        </w:rPr>
        <w:t>ṣ</w:t>
      </w:r>
      <w:r w:rsidRPr="00753DE5">
        <w:rPr>
          <w:rFonts w:eastAsia="GaramondLight"/>
          <w:sz w:val="24"/>
          <w:szCs w:val="24"/>
          <w:lang w:val="tr-TR"/>
        </w:rPr>
        <w:t>ması i</w:t>
      </w:r>
      <w:r>
        <w:rPr>
          <w:rFonts w:eastAsia="GaramondLight"/>
          <w:sz w:val="24"/>
          <w:szCs w:val="24"/>
          <w:lang w:val="tr-TR"/>
        </w:rPr>
        <w:t>ç</w:t>
      </w:r>
      <w:r w:rsidRPr="00753DE5">
        <w:rPr>
          <w:rFonts w:eastAsia="GaramondLight"/>
          <w:sz w:val="24"/>
          <w:szCs w:val="24"/>
          <w:lang w:val="tr-TR"/>
        </w:rPr>
        <w:t>in dört önemli faktörun bile</w:t>
      </w:r>
      <w:r w:rsidRPr="00753DE5">
        <w:rPr>
          <w:rFonts w:ascii="Tahoma" w:eastAsia="GaramondLight" w:hAnsi="Tahoma" w:cs="Tahoma"/>
          <w:sz w:val="24"/>
          <w:szCs w:val="24"/>
          <w:lang w:val="tr-TR"/>
        </w:rPr>
        <w:t>ṣ</w:t>
      </w:r>
      <w:r w:rsidRPr="00753DE5">
        <w:rPr>
          <w:rFonts w:eastAsia="GaramondLight"/>
          <w:sz w:val="24"/>
          <w:szCs w:val="24"/>
          <w:lang w:val="tr-TR"/>
        </w:rPr>
        <w:t xml:space="preserve">kesi gereklidir: a) gerçeklerin açıklanması </w:t>
      </w:r>
      <w:r w:rsidRPr="00753DE5">
        <w:rPr>
          <w:rFonts w:eastAsia="GaramondLight"/>
          <w:i/>
          <w:iCs/>
          <w:sz w:val="24"/>
          <w:szCs w:val="24"/>
          <w:lang w:val="tr-TR"/>
        </w:rPr>
        <w:t>(truth-telling)</w:t>
      </w:r>
      <w:r w:rsidRPr="00753DE5">
        <w:rPr>
          <w:rFonts w:eastAsia="GaramondLight"/>
          <w:sz w:val="24"/>
          <w:szCs w:val="24"/>
          <w:lang w:val="tr-TR"/>
        </w:rPr>
        <w:t xml:space="preserve">, b) tamiri/tazmini </w:t>
      </w:r>
      <w:r w:rsidRPr="00753DE5">
        <w:rPr>
          <w:rFonts w:eastAsia="GaramondLight"/>
          <w:i/>
          <w:iCs/>
          <w:sz w:val="24"/>
          <w:szCs w:val="24"/>
          <w:lang w:val="tr-TR"/>
        </w:rPr>
        <w:t>(reparation)</w:t>
      </w:r>
      <w:r w:rsidRPr="00753DE5">
        <w:rPr>
          <w:rFonts w:eastAsia="GaramondLight"/>
          <w:sz w:val="24"/>
          <w:szCs w:val="24"/>
          <w:lang w:val="tr-TR"/>
        </w:rPr>
        <w:t>, c) yaraların sarılması/iyile</w:t>
      </w:r>
      <w:r w:rsidRPr="00753DE5">
        <w:rPr>
          <w:rFonts w:ascii="Tahoma" w:eastAsia="GaramondLight" w:hAnsi="Tahoma" w:cs="Tahoma"/>
          <w:sz w:val="24"/>
          <w:szCs w:val="24"/>
          <w:lang w:val="tr-TR"/>
        </w:rPr>
        <w:t>ṣ</w:t>
      </w:r>
      <w:r w:rsidRPr="00753DE5">
        <w:rPr>
          <w:rFonts w:eastAsia="GaramondLight"/>
          <w:sz w:val="24"/>
          <w:szCs w:val="24"/>
          <w:lang w:val="tr-TR"/>
        </w:rPr>
        <w:t xml:space="preserve">me </w:t>
      </w:r>
      <w:r w:rsidRPr="00753DE5">
        <w:rPr>
          <w:rFonts w:eastAsia="GaramondLight"/>
          <w:i/>
          <w:iCs/>
          <w:sz w:val="24"/>
          <w:szCs w:val="24"/>
          <w:lang w:val="tr-TR"/>
        </w:rPr>
        <w:t>(healing)</w:t>
      </w:r>
      <w:r w:rsidRPr="00753DE5">
        <w:rPr>
          <w:rFonts w:eastAsia="GaramondLight"/>
          <w:sz w:val="24"/>
          <w:szCs w:val="24"/>
          <w:lang w:val="tr-TR"/>
        </w:rPr>
        <w:t xml:space="preserve">, </w:t>
      </w:r>
    </w:p>
    <w:p w:rsidR="008E1605" w:rsidRPr="00753DE5" w:rsidRDefault="008E1605" w:rsidP="001570D0">
      <w:pPr>
        <w:autoSpaceDE w:val="0"/>
        <w:autoSpaceDN w:val="0"/>
        <w:adjustRightInd w:val="0"/>
        <w:spacing w:after="0" w:line="480" w:lineRule="auto"/>
        <w:rPr>
          <w:rFonts w:ascii="Times New Roman" w:hAnsi="Times New Roman"/>
          <w:sz w:val="24"/>
          <w:szCs w:val="24"/>
        </w:rPr>
      </w:pPr>
      <w:r w:rsidRPr="00753DE5">
        <w:rPr>
          <w:rFonts w:ascii="Times New Roman" w:eastAsia="GaramondLight" w:hAnsi="Times New Roman"/>
          <w:sz w:val="24"/>
          <w:szCs w:val="24"/>
        </w:rPr>
        <w:t xml:space="preserve">d) onarıcı adalet </w:t>
      </w:r>
      <w:r w:rsidRPr="00753DE5">
        <w:rPr>
          <w:rFonts w:ascii="Times New Roman" w:eastAsia="GaramondLight" w:hAnsi="Times New Roman"/>
          <w:i/>
          <w:iCs/>
          <w:sz w:val="24"/>
          <w:szCs w:val="24"/>
        </w:rPr>
        <w:t xml:space="preserve">(restorative justice) </w:t>
      </w:r>
      <w:r w:rsidRPr="00753DE5">
        <w:rPr>
          <w:rFonts w:ascii="Times New Roman" w:eastAsia="GaramondLight" w:hAnsi="Times New Roman"/>
          <w:sz w:val="24"/>
          <w:szCs w:val="24"/>
        </w:rPr>
        <w:t>(Lederach, 1998).</w:t>
      </w:r>
    </w:p>
    <w:p w:rsidR="008E1605" w:rsidRPr="00753DE5" w:rsidRDefault="008E1605" w:rsidP="00C5661C">
      <w:pPr>
        <w:pStyle w:val="BodyText"/>
        <w:ind w:firstLine="708"/>
        <w:jc w:val="both"/>
        <w:rPr>
          <w:sz w:val="24"/>
          <w:lang w:val="tr-TR"/>
        </w:rPr>
      </w:pPr>
      <w:r w:rsidRPr="00753DE5">
        <w:rPr>
          <w:sz w:val="24"/>
          <w:szCs w:val="22"/>
          <w:lang w:val="tr-TR"/>
        </w:rPr>
        <w:t>Çatışmalar sonrası toplumsal mutabakat süreçleri neden önemlidir? Toplumsal mutabakat süreci ya</w:t>
      </w:r>
      <w:r w:rsidRPr="00753DE5">
        <w:rPr>
          <w:rFonts w:ascii="Tahoma" w:hAnsi="Tahoma" w:cs="Tahoma"/>
          <w:sz w:val="24"/>
          <w:szCs w:val="22"/>
          <w:lang w:val="tr-TR"/>
        </w:rPr>
        <w:t>ṣ</w:t>
      </w:r>
      <w:r w:rsidRPr="00753DE5">
        <w:rPr>
          <w:sz w:val="24"/>
          <w:szCs w:val="22"/>
          <w:lang w:val="tr-TR"/>
        </w:rPr>
        <w:t>amayan toplumlar için barı</w:t>
      </w:r>
      <w:r w:rsidRPr="00753DE5">
        <w:rPr>
          <w:rFonts w:ascii="Tahoma" w:hAnsi="Tahoma" w:cs="Tahoma"/>
          <w:sz w:val="24"/>
          <w:szCs w:val="22"/>
          <w:lang w:val="tr-TR"/>
        </w:rPr>
        <w:t>ṣ</w:t>
      </w:r>
      <w:r w:rsidRPr="00753DE5">
        <w:rPr>
          <w:sz w:val="24"/>
          <w:szCs w:val="22"/>
          <w:lang w:val="tr-TR"/>
        </w:rPr>
        <w:t>a ula</w:t>
      </w:r>
      <w:r w:rsidRPr="00753DE5">
        <w:rPr>
          <w:rFonts w:ascii="Tahoma" w:hAnsi="Tahoma" w:cs="Tahoma"/>
          <w:sz w:val="24"/>
          <w:szCs w:val="22"/>
          <w:lang w:val="tr-TR"/>
        </w:rPr>
        <w:t>ṣ</w:t>
      </w:r>
      <w:r w:rsidRPr="00753DE5">
        <w:rPr>
          <w:sz w:val="24"/>
          <w:szCs w:val="22"/>
          <w:lang w:val="tr-TR"/>
        </w:rPr>
        <w:t xml:space="preserve">mak ve gelecek hayali neden zordur? </w:t>
      </w:r>
      <w:r w:rsidRPr="00753DE5">
        <w:rPr>
          <w:sz w:val="24"/>
          <w:lang w:val="tr-TR"/>
        </w:rPr>
        <w:t>Toplumsal mutabakat, toplumsal dönüşüm, barış ve uzlaşmanın çok önemli bir parçasıdır. Barış ve uzlaşma literatüründeki egemen görüş, bireylerin ve halkların geçmi</w:t>
      </w:r>
      <w:r w:rsidRPr="00753DE5">
        <w:rPr>
          <w:rFonts w:ascii="Tahoma" w:hAnsi="Tahoma" w:cs="Tahoma"/>
          <w:sz w:val="24"/>
          <w:lang w:val="tr-TR"/>
        </w:rPr>
        <w:t>ṣ</w:t>
      </w:r>
      <w:r w:rsidRPr="00753DE5">
        <w:rPr>
          <w:sz w:val="24"/>
          <w:lang w:val="tr-TR"/>
        </w:rPr>
        <w:t>le yüzle</w:t>
      </w:r>
      <w:r w:rsidRPr="00753DE5">
        <w:rPr>
          <w:rFonts w:ascii="Tahoma" w:hAnsi="Tahoma" w:cs="Tahoma"/>
          <w:sz w:val="24"/>
          <w:lang w:val="tr-TR"/>
        </w:rPr>
        <w:t>ṣ</w:t>
      </w:r>
      <w:r w:rsidRPr="00753DE5">
        <w:rPr>
          <w:sz w:val="24"/>
          <w:lang w:val="tr-TR"/>
        </w:rPr>
        <w:t>mesinin, affetmeye ve bağışlamaya hazır ve istekli olmalarının</w:t>
      </w:r>
      <w:r>
        <w:rPr>
          <w:sz w:val="24"/>
          <w:lang w:val="tr-TR"/>
        </w:rPr>
        <w:t>,</w:t>
      </w:r>
      <w:r w:rsidRPr="00753DE5">
        <w:rPr>
          <w:sz w:val="24"/>
          <w:lang w:val="tr-TR"/>
        </w:rPr>
        <w:t xml:space="preserve"> onları toplum içinde daha kuvvetli ve sağlam ilişkiler kurmaya hazırladığı yönündedir. Fakat bu bireysel ve toplumsal yüzle</w:t>
      </w:r>
      <w:r w:rsidRPr="00753DE5">
        <w:rPr>
          <w:rFonts w:ascii="Tahoma" w:hAnsi="Tahoma" w:cs="Tahoma"/>
          <w:sz w:val="24"/>
          <w:lang w:val="tr-TR"/>
        </w:rPr>
        <w:t>ṣ</w:t>
      </w:r>
      <w:r w:rsidRPr="00753DE5">
        <w:rPr>
          <w:sz w:val="24"/>
          <w:lang w:val="tr-TR"/>
        </w:rPr>
        <w:t>menin ve affetmenin önemli ko</w:t>
      </w:r>
      <w:r w:rsidRPr="00753DE5">
        <w:rPr>
          <w:rFonts w:ascii="Tahoma" w:hAnsi="Tahoma" w:cs="Tahoma"/>
          <w:sz w:val="24"/>
          <w:lang w:val="tr-TR"/>
        </w:rPr>
        <w:t>ṣ</w:t>
      </w:r>
      <w:r w:rsidRPr="00753DE5">
        <w:rPr>
          <w:sz w:val="24"/>
          <w:lang w:val="tr-TR"/>
        </w:rPr>
        <w:t xml:space="preserve">ulları vardır. Mesela Assefa (2001), </w:t>
      </w:r>
      <w:r>
        <w:rPr>
          <w:sz w:val="24"/>
          <w:lang w:val="tr-TR"/>
        </w:rPr>
        <w:t>farklı düzeydeki</w:t>
      </w:r>
      <w:r w:rsidRPr="00753DE5">
        <w:rPr>
          <w:sz w:val="24"/>
          <w:lang w:val="tr-TR"/>
        </w:rPr>
        <w:t xml:space="preserve"> tarafların yeni ve ortak olarak kazançlı bir ilişkiye doğru adım atabilmelerinin şu koşullara bağlı olduğunu savunuyor: </w:t>
      </w:r>
    </w:p>
    <w:p w:rsidR="008E1605" w:rsidRPr="00A94924" w:rsidRDefault="008E1605" w:rsidP="00C5661C">
      <w:pPr>
        <w:pStyle w:val="ListParagraph"/>
        <w:numPr>
          <w:ilvl w:val="0"/>
          <w:numId w:val="1"/>
        </w:numPr>
        <w:autoSpaceDE w:val="0"/>
        <w:autoSpaceDN w:val="0"/>
        <w:adjustRightInd w:val="0"/>
        <w:spacing w:line="480" w:lineRule="auto"/>
        <w:jc w:val="both"/>
        <w:rPr>
          <w:rFonts w:ascii="Times New Roman" w:hAnsi="Times New Roman"/>
          <w:sz w:val="24"/>
        </w:rPr>
      </w:pPr>
      <w:r>
        <w:rPr>
          <w:rFonts w:ascii="Times New Roman" w:hAnsi="Times New Roman"/>
          <w:sz w:val="24"/>
        </w:rPr>
        <w:t>Çatışmanın tarafları,</w:t>
      </w:r>
      <w:r w:rsidRPr="00A94924">
        <w:rPr>
          <w:rFonts w:ascii="Times New Roman" w:hAnsi="Times New Roman"/>
          <w:sz w:val="24"/>
        </w:rPr>
        <w:t xml:space="preserve"> karşı tarafa yaptıkları zararı dürüstçe kabul ederler [acknowledgement – kabul etme]; </w:t>
      </w:r>
    </w:p>
    <w:p w:rsidR="008E1605" w:rsidRPr="00A94924" w:rsidRDefault="008E1605" w:rsidP="00C5661C">
      <w:pPr>
        <w:pStyle w:val="ListParagraph"/>
        <w:numPr>
          <w:ilvl w:val="0"/>
          <w:numId w:val="1"/>
        </w:numPr>
        <w:autoSpaceDE w:val="0"/>
        <w:autoSpaceDN w:val="0"/>
        <w:adjustRightInd w:val="0"/>
        <w:spacing w:line="480" w:lineRule="auto"/>
        <w:jc w:val="both"/>
        <w:rPr>
          <w:rFonts w:ascii="Times New Roman" w:hAnsi="Times New Roman"/>
          <w:sz w:val="24"/>
        </w:rPr>
      </w:pPr>
      <w:r w:rsidRPr="00A94924">
        <w:rPr>
          <w:rFonts w:ascii="Times New Roman" w:hAnsi="Times New Roman"/>
          <w:sz w:val="24"/>
        </w:rPr>
        <w:t xml:space="preserve">Karşı tarafa verilen zarardaki rolleri için pişmanlıklarını ve üzgünlüklerini dile getirip özür dilerler [Özür dileme], </w:t>
      </w:r>
    </w:p>
    <w:p w:rsidR="008E1605" w:rsidRPr="00A94924" w:rsidRDefault="008E1605" w:rsidP="00C5661C">
      <w:pPr>
        <w:pStyle w:val="ListParagraph"/>
        <w:numPr>
          <w:ilvl w:val="0"/>
          <w:numId w:val="1"/>
        </w:numPr>
        <w:autoSpaceDE w:val="0"/>
        <w:autoSpaceDN w:val="0"/>
        <w:adjustRightInd w:val="0"/>
        <w:spacing w:line="480" w:lineRule="auto"/>
        <w:jc w:val="both"/>
        <w:rPr>
          <w:rFonts w:ascii="Times New Roman" w:hAnsi="Times New Roman"/>
          <w:sz w:val="24"/>
        </w:rPr>
      </w:pPr>
      <w:r w:rsidRPr="00A94924">
        <w:rPr>
          <w:rFonts w:ascii="Times New Roman" w:hAnsi="Times New Roman"/>
          <w:sz w:val="24"/>
        </w:rPr>
        <w:t>Çatışma ve ortaya çıkmış zarar / tahribat / kayı</w:t>
      </w:r>
      <w:r>
        <w:rPr>
          <w:rFonts w:ascii="Times New Roman" w:hAnsi="Times New Roman"/>
          <w:sz w:val="24"/>
        </w:rPr>
        <w:t>p</w:t>
      </w:r>
      <w:r w:rsidRPr="00A94924">
        <w:rPr>
          <w:rFonts w:ascii="Times New Roman" w:hAnsi="Times New Roman"/>
          <w:sz w:val="24"/>
        </w:rPr>
        <w:t xml:space="preserve">tan kaynaklanan kızgınlık ve öfkeye bir son verirler [Af dileme / bağışlama], </w:t>
      </w:r>
    </w:p>
    <w:p w:rsidR="008E1605" w:rsidRDefault="008E1605" w:rsidP="004B6A69">
      <w:pPr>
        <w:pStyle w:val="ListParagraph"/>
        <w:numPr>
          <w:ilvl w:val="0"/>
          <w:numId w:val="1"/>
        </w:numPr>
        <w:autoSpaceDE w:val="0"/>
        <w:autoSpaceDN w:val="0"/>
        <w:adjustRightInd w:val="0"/>
        <w:spacing w:line="480" w:lineRule="auto"/>
        <w:jc w:val="both"/>
        <w:rPr>
          <w:rFonts w:ascii="Times New Roman" w:hAnsi="Times New Roman"/>
          <w:sz w:val="24"/>
        </w:rPr>
      </w:pPr>
      <w:r w:rsidRPr="004B6A69">
        <w:rPr>
          <w:rFonts w:ascii="Times New Roman" w:hAnsi="Times New Roman"/>
          <w:sz w:val="24"/>
        </w:rPr>
        <w:t xml:space="preserve">geçmişteki acılar ve zararlar için tazminat verirler [Onarım]. </w:t>
      </w:r>
    </w:p>
    <w:p w:rsidR="008E1605" w:rsidRPr="00A94924" w:rsidRDefault="008E1605" w:rsidP="00C5661C">
      <w:pPr>
        <w:pStyle w:val="ListParagraph"/>
        <w:autoSpaceDE w:val="0"/>
        <w:autoSpaceDN w:val="0"/>
        <w:adjustRightInd w:val="0"/>
        <w:spacing w:line="480" w:lineRule="auto"/>
        <w:ind w:left="0" w:firstLine="708"/>
        <w:jc w:val="both"/>
        <w:rPr>
          <w:rFonts w:ascii="Times New Roman" w:hAnsi="Times New Roman"/>
          <w:sz w:val="24"/>
        </w:rPr>
      </w:pPr>
      <w:r>
        <w:rPr>
          <w:rFonts w:ascii="Times New Roman" w:hAnsi="Times New Roman"/>
          <w:sz w:val="24"/>
        </w:rPr>
        <w:t>Ayrıca, t</w:t>
      </w:r>
      <w:r w:rsidRPr="004B6A69">
        <w:rPr>
          <w:rFonts w:ascii="Times New Roman" w:hAnsi="Times New Roman"/>
          <w:sz w:val="24"/>
          <w:szCs w:val="24"/>
        </w:rPr>
        <w:t>oplumsal mutabakat yaklaşımı, şiddet yaşamış toplumların ş</w:t>
      </w:r>
      <w:r>
        <w:rPr>
          <w:rFonts w:ascii="Times New Roman" w:hAnsi="Times New Roman"/>
          <w:sz w:val="24"/>
          <w:szCs w:val="24"/>
        </w:rPr>
        <w:t xml:space="preserve">iddet </w:t>
      </w:r>
      <w:r w:rsidRPr="004B6A69">
        <w:rPr>
          <w:rFonts w:ascii="Times New Roman" w:hAnsi="Times New Roman"/>
          <w:sz w:val="24"/>
          <w:szCs w:val="24"/>
        </w:rPr>
        <w:t>dönemini kapatırken yeni şiddete yol açacak faktörlerin ortaya çıkmasına engel olacak mekanizmalar da üretmesini gerektirir.</w:t>
      </w:r>
      <w:r>
        <w:rPr>
          <w:rFonts w:ascii="Times New Roman" w:hAnsi="Times New Roman"/>
          <w:sz w:val="24"/>
        </w:rPr>
        <w:t xml:space="preserve"> Tüm bunlar</w:t>
      </w:r>
      <w:r w:rsidRPr="00A94924">
        <w:rPr>
          <w:rFonts w:ascii="Times New Roman" w:hAnsi="Times New Roman"/>
          <w:sz w:val="24"/>
        </w:rPr>
        <w:t xml:space="preserve"> sadece acılı geçmişi geride bırakmak için değil, aynı zamanda uzun vadeli ve bir</w:t>
      </w:r>
      <w:r>
        <w:rPr>
          <w:rFonts w:ascii="Times New Roman" w:hAnsi="Times New Roman"/>
          <w:sz w:val="24"/>
        </w:rPr>
        <w:t>likte ya</w:t>
      </w:r>
      <w:r>
        <w:rPr>
          <w:rFonts w:ascii="Tahoma" w:hAnsi="Tahoma" w:cs="Tahoma"/>
          <w:sz w:val="24"/>
        </w:rPr>
        <w:t>ṣ</w:t>
      </w:r>
      <w:r>
        <w:rPr>
          <w:rFonts w:ascii="Times New Roman" w:hAnsi="Times New Roman"/>
          <w:sz w:val="24"/>
        </w:rPr>
        <w:t>amayı gerekli kılan</w:t>
      </w:r>
      <w:r w:rsidRPr="00A94924">
        <w:rPr>
          <w:rFonts w:ascii="Times New Roman" w:hAnsi="Times New Roman"/>
          <w:sz w:val="24"/>
        </w:rPr>
        <w:t xml:space="preserve"> bir gelecek arayışı için de gerekli koşullardır. Ayrıca, her ne kadar affetme ve bağışlama barış sürecinin vazgeçilmez bir parçası olsa da, uzlaşmanın diğer bileşenlerini dikkate almayan ve çatışmanın ana sebeplerinin üstünde durmayan toplumsal dönüşümler uzun süreli bir barış için yeterli olamayabilirler. </w:t>
      </w:r>
    </w:p>
    <w:p w:rsidR="008E1605" w:rsidRPr="00753DE5" w:rsidRDefault="008E1605" w:rsidP="00C5661C">
      <w:pPr>
        <w:pStyle w:val="BodyText"/>
        <w:ind w:firstLine="708"/>
        <w:jc w:val="both"/>
        <w:rPr>
          <w:sz w:val="24"/>
          <w:szCs w:val="22"/>
          <w:lang w:val="tr-TR"/>
        </w:rPr>
      </w:pPr>
      <w:r w:rsidRPr="00753DE5">
        <w:rPr>
          <w:sz w:val="24"/>
          <w:lang w:val="tr-TR"/>
        </w:rPr>
        <w:t>Toplumsal mutabakatın en önemli adımlarından biri, yapılan yanlışı kabul etmek ve sancılı geçmiş ile yüzleşmektir, fakat bu, unutmak demek değildir. Geçmişle yüzleşmek süreçlerinde çatı</w:t>
      </w:r>
      <w:r w:rsidRPr="00753DE5">
        <w:rPr>
          <w:rFonts w:ascii="Tahoma" w:hAnsi="Tahoma" w:cs="Tahoma"/>
          <w:sz w:val="24"/>
          <w:lang w:val="tr-TR"/>
        </w:rPr>
        <w:t>ṣ</w:t>
      </w:r>
      <w:r w:rsidRPr="00753DE5">
        <w:rPr>
          <w:sz w:val="24"/>
          <w:lang w:val="tr-TR"/>
        </w:rPr>
        <w:t>ma ya</w:t>
      </w:r>
      <w:r w:rsidRPr="00753DE5">
        <w:rPr>
          <w:rFonts w:ascii="Tahoma" w:hAnsi="Tahoma" w:cs="Tahoma"/>
          <w:sz w:val="24"/>
          <w:lang w:val="tr-TR"/>
        </w:rPr>
        <w:t>ṣ</w:t>
      </w:r>
      <w:r w:rsidRPr="00753DE5">
        <w:rPr>
          <w:sz w:val="24"/>
          <w:lang w:val="tr-TR"/>
        </w:rPr>
        <w:t>amı</w:t>
      </w:r>
      <w:r w:rsidRPr="00753DE5">
        <w:rPr>
          <w:rFonts w:ascii="Tahoma" w:hAnsi="Tahoma" w:cs="Tahoma"/>
          <w:sz w:val="24"/>
          <w:lang w:val="tr-TR"/>
        </w:rPr>
        <w:t>ṣ</w:t>
      </w:r>
      <w:r w:rsidRPr="00753DE5">
        <w:rPr>
          <w:sz w:val="24"/>
          <w:lang w:val="tr-TR"/>
        </w:rPr>
        <w:t xml:space="preserve"> tarafların deği</w:t>
      </w:r>
      <w:r w:rsidRPr="00753DE5">
        <w:rPr>
          <w:rFonts w:ascii="Tahoma" w:hAnsi="Tahoma" w:cs="Tahoma"/>
          <w:sz w:val="24"/>
          <w:lang w:val="tr-TR"/>
        </w:rPr>
        <w:t>ṣ</w:t>
      </w:r>
      <w:r w:rsidRPr="00753DE5">
        <w:rPr>
          <w:sz w:val="24"/>
          <w:lang w:val="tr-TR"/>
        </w:rPr>
        <w:t xml:space="preserve">ik seslerin duyulması ve bu seslerin kendilerini tehlikede hissetmeden hikayelerini anlatabilecekleri güven ortamının sağlanması önemlidir. Hiçbir toplumsal ya da bireysel travma ve şiddet deneyimi, birbiriyle karşılaştırılabilse de aynı değildir. </w:t>
      </w:r>
    </w:p>
    <w:p w:rsidR="008E1605" w:rsidRPr="00A94924" w:rsidRDefault="008E1605" w:rsidP="002F3764">
      <w:pPr>
        <w:pStyle w:val="BodyText"/>
        <w:ind w:firstLine="708"/>
        <w:jc w:val="both"/>
        <w:rPr>
          <w:sz w:val="24"/>
          <w:szCs w:val="22"/>
          <w:lang w:val="tr-TR"/>
        </w:rPr>
      </w:pPr>
      <w:r>
        <w:rPr>
          <w:sz w:val="24"/>
          <w:szCs w:val="22"/>
          <w:lang w:val="tr-TR"/>
        </w:rPr>
        <w:t>Çatışmalar</w:t>
      </w:r>
      <w:r w:rsidRPr="00A94924">
        <w:rPr>
          <w:sz w:val="24"/>
          <w:szCs w:val="22"/>
          <w:lang w:val="tr-TR"/>
        </w:rPr>
        <w:t xml:space="preserve"> farklı bireysel ve toplumsal deneyimlerden kaynaklandığı için, mağdurların </w:t>
      </w:r>
      <w:r>
        <w:rPr>
          <w:sz w:val="24"/>
          <w:szCs w:val="22"/>
          <w:lang w:val="tr-TR"/>
        </w:rPr>
        <w:t>çatışmanın</w:t>
      </w:r>
      <w:r w:rsidRPr="00A94924">
        <w:rPr>
          <w:sz w:val="24"/>
          <w:szCs w:val="22"/>
          <w:lang w:val="tr-TR"/>
        </w:rPr>
        <w:t xml:space="preserve"> olumsuz sonuçları ile baş etme yolları ve şiddetin kaynağını affetme (veya affetmeme) istekleri kişisel deneyimlerine göre değişiklik gösterebilir. </w:t>
      </w:r>
      <w:r>
        <w:rPr>
          <w:sz w:val="24"/>
          <w:szCs w:val="22"/>
          <w:lang w:val="tr-TR"/>
        </w:rPr>
        <w:t>Bu durumları bireysel ve toplumsal olarak tanımlamak gerekir: bireysel boyutta m</w:t>
      </w:r>
      <w:r w:rsidRPr="00A94924">
        <w:rPr>
          <w:sz w:val="24"/>
          <w:szCs w:val="22"/>
          <w:lang w:val="tr-TR"/>
        </w:rPr>
        <w:t>ağdurun travmaya yol açan kişise</w:t>
      </w:r>
      <w:r>
        <w:rPr>
          <w:sz w:val="24"/>
          <w:szCs w:val="22"/>
          <w:lang w:val="tr-TR"/>
        </w:rPr>
        <w:t xml:space="preserve">l deneyimi ve ihtiyaçları, </w:t>
      </w:r>
      <w:r w:rsidRPr="00A94924">
        <w:rPr>
          <w:sz w:val="24"/>
          <w:szCs w:val="22"/>
          <w:lang w:val="tr-TR"/>
        </w:rPr>
        <w:t>içinde o</w:t>
      </w:r>
      <w:r>
        <w:rPr>
          <w:sz w:val="24"/>
          <w:szCs w:val="22"/>
          <w:lang w:val="tr-TR"/>
        </w:rPr>
        <w:t>lduğu toplumsal ve siyasi ortamla ilgilidir. T</w:t>
      </w:r>
      <w:r w:rsidRPr="00A94924">
        <w:rPr>
          <w:sz w:val="24"/>
          <w:szCs w:val="22"/>
          <w:lang w:val="tr-TR"/>
        </w:rPr>
        <w:t>oplumsal boyutta</w:t>
      </w:r>
      <w:r>
        <w:rPr>
          <w:sz w:val="24"/>
          <w:szCs w:val="22"/>
          <w:lang w:val="tr-TR"/>
        </w:rPr>
        <w:t xml:space="preserve"> ise</w:t>
      </w:r>
      <w:r w:rsidRPr="00A94924">
        <w:rPr>
          <w:sz w:val="24"/>
          <w:szCs w:val="22"/>
          <w:lang w:val="tr-TR"/>
        </w:rPr>
        <w:t xml:space="preserve"> toplumun geçmişi ile hesaplaşma </w:t>
      </w:r>
      <w:r>
        <w:rPr>
          <w:sz w:val="24"/>
          <w:szCs w:val="22"/>
          <w:lang w:val="tr-TR"/>
        </w:rPr>
        <w:t xml:space="preserve">metodu önemli bir </w:t>
      </w:r>
      <w:r w:rsidRPr="00A94924">
        <w:rPr>
          <w:sz w:val="24"/>
          <w:szCs w:val="22"/>
          <w:lang w:val="tr-TR"/>
        </w:rPr>
        <w:t>boyut</w:t>
      </w:r>
      <w:r>
        <w:rPr>
          <w:sz w:val="24"/>
          <w:szCs w:val="22"/>
          <w:lang w:val="tr-TR"/>
        </w:rPr>
        <w:t>tur</w:t>
      </w:r>
      <w:r w:rsidRPr="00A94924">
        <w:rPr>
          <w:sz w:val="24"/>
          <w:szCs w:val="22"/>
          <w:lang w:val="tr-TR"/>
        </w:rPr>
        <w:t>.</w:t>
      </w:r>
      <w:r>
        <w:rPr>
          <w:sz w:val="24"/>
          <w:szCs w:val="22"/>
          <w:lang w:val="tr-TR"/>
        </w:rPr>
        <w:t xml:space="preserve"> Geçmi</w:t>
      </w:r>
      <w:r>
        <w:rPr>
          <w:rFonts w:ascii="Tahoma" w:hAnsi="Tahoma" w:cs="Tahoma"/>
          <w:sz w:val="24"/>
          <w:szCs w:val="22"/>
          <w:lang w:val="tr-TR"/>
        </w:rPr>
        <w:t>ṣ</w:t>
      </w:r>
      <w:r>
        <w:rPr>
          <w:sz w:val="24"/>
          <w:szCs w:val="22"/>
          <w:lang w:val="tr-TR"/>
        </w:rPr>
        <w:t>le hesapla</w:t>
      </w:r>
      <w:r>
        <w:rPr>
          <w:rFonts w:ascii="Tahoma" w:hAnsi="Tahoma" w:cs="Tahoma"/>
          <w:sz w:val="24"/>
          <w:szCs w:val="22"/>
          <w:lang w:val="tr-TR"/>
        </w:rPr>
        <w:t>ṣ</w:t>
      </w:r>
      <w:r>
        <w:rPr>
          <w:sz w:val="24"/>
          <w:szCs w:val="22"/>
          <w:lang w:val="tr-TR"/>
        </w:rPr>
        <w:t xml:space="preserve">ma tek bir model olamaz. Nasıl ki bireyin kendisine </w:t>
      </w:r>
      <w:r>
        <w:rPr>
          <w:rFonts w:ascii="Tahoma" w:hAnsi="Tahoma" w:cs="Tahoma"/>
          <w:sz w:val="24"/>
          <w:szCs w:val="22"/>
          <w:lang w:val="tr-TR"/>
        </w:rPr>
        <w:t>ṣ</w:t>
      </w:r>
      <w:r>
        <w:rPr>
          <w:sz w:val="24"/>
          <w:szCs w:val="22"/>
          <w:lang w:val="tr-TR"/>
        </w:rPr>
        <w:t>iddet uygulayan kaynakla yüzle</w:t>
      </w:r>
      <w:r>
        <w:rPr>
          <w:rFonts w:ascii="Tahoma" w:hAnsi="Tahoma" w:cs="Tahoma"/>
          <w:sz w:val="24"/>
          <w:szCs w:val="22"/>
          <w:lang w:val="tr-TR"/>
        </w:rPr>
        <w:t>ṣ</w:t>
      </w:r>
      <w:r>
        <w:rPr>
          <w:sz w:val="24"/>
          <w:szCs w:val="22"/>
          <w:lang w:val="tr-TR"/>
        </w:rPr>
        <w:t>mesi ve bu geçmi</w:t>
      </w:r>
      <w:r>
        <w:rPr>
          <w:rFonts w:ascii="Tahoma" w:hAnsi="Tahoma" w:cs="Tahoma"/>
          <w:sz w:val="24"/>
          <w:szCs w:val="22"/>
          <w:lang w:val="tr-TR"/>
        </w:rPr>
        <w:t>ṣ</w:t>
      </w:r>
      <w:r>
        <w:rPr>
          <w:sz w:val="24"/>
          <w:szCs w:val="22"/>
          <w:lang w:val="tr-TR"/>
        </w:rPr>
        <w:t>i geride bırakması farklı süreçlerde geli</w:t>
      </w:r>
      <w:r>
        <w:rPr>
          <w:rFonts w:ascii="Tahoma" w:hAnsi="Tahoma" w:cs="Tahoma"/>
          <w:sz w:val="24"/>
          <w:szCs w:val="22"/>
          <w:lang w:val="tr-TR"/>
        </w:rPr>
        <w:t>ṣ</w:t>
      </w:r>
      <w:r>
        <w:rPr>
          <w:sz w:val="24"/>
          <w:szCs w:val="22"/>
          <w:lang w:val="tr-TR"/>
        </w:rPr>
        <w:t xml:space="preserve">ebilirse toplumlar için de bu süreç çok yönlü ve farklı </w:t>
      </w:r>
      <w:r>
        <w:rPr>
          <w:rFonts w:ascii="Tahoma" w:hAnsi="Tahoma" w:cs="Tahoma"/>
          <w:sz w:val="24"/>
          <w:szCs w:val="22"/>
          <w:lang w:val="tr-TR"/>
        </w:rPr>
        <w:t>ṣ</w:t>
      </w:r>
      <w:r>
        <w:rPr>
          <w:sz w:val="24"/>
          <w:szCs w:val="22"/>
          <w:lang w:val="tr-TR"/>
        </w:rPr>
        <w:t>ekillerde gerçekle</w:t>
      </w:r>
      <w:r>
        <w:rPr>
          <w:rFonts w:ascii="Tahoma" w:hAnsi="Tahoma" w:cs="Tahoma"/>
          <w:sz w:val="24"/>
          <w:szCs w:val="22"/>
          <w:lang w:val="tr-TR"/>
        </w:rPr>
        <w:t>ṣ</w:t>
      </w:r>
      <w:r>
        <w:rPr>
          <w:sz w:val="24"/>
          <w:szCs w:val="22"/>
          <w:lang w:val="tr-TR"/>
        </w:rPr>
        <w:t>ebilir.</w:t>
      </w:r>
    </w:p>
    <w:p w:rsidR="008E1605" w:rsidRPr="00A94924" w:rsidRDefault="008E1605" w:rsidP="002F3764">
      <w:pPr>
        <w:autoSpaceDE w:val="0"/>
        <w:autoSpaceDN w:val="0"/>
        <w:adjustRightInd w:val="0"/>
        <w:spacing w:line="480" w:lineRule="auto"/>
        <w:ind w:firstLine="708"/>
        <w:jc w:val="both"/>
        <w:rPr>
          <w:rFonts w:ascii="Times New Roman" w:hAnsi="Times New Roman"/>
          <w:sz w:val="24"/>
        </w:rPr>
      </w:pPr>
      <w:r w:rsidRPr="00A94924">
        <w:rPr>
          <w:rFonts w:ascii="Times New Roman" w:hAnsi="Times New Roman"/>
          <w:sz w:val="24"/>
        </w:rPr>
        <w:t xml:space="preserve">Olaya psikolojik açıdan yaklaşıldığında, </w:t>
      </w:r>
      <w:r>
        <w:rPr>
          <w:rFonts w:ascii="Times New Roman" w:hAnsi="Times New Roman"/>
          <w:sz w:val="24"/>
        </w:rPr>
        <w:t>çatışma</w:t>
      </w:r>
      <w:r w:rsidRPr="00A94924">
        <w:rPr>
          <w:rFonts w:ascii="Times New Roman" w:hAnsi="Times New Roman"/>
          <w:sz w:val="24"/>
        </w:rPr>
        <w:t xml:space="preserve"> sonrası iyileşme, affetme / bağışlama ve barış ve uzlaşma birbiriyle yakinen ilgilidirler</w:t>
      </w:r>
      <w:r>
        <w:rPr>
          <w:rFonts w:ascii="Times New Roman" w:hAnsi="Times New Roman"/>
          <w:sz w:val="24"/>
        </w:rPr>
        <w:t>.</w:t>
      </w:r>
      <w:r w:rsidRPr="00A94924">
        <w:rPr>
          <w:rFonts w:ascii="Times New Roman" w:hAnsi="Times New Roman"/>
          <w:sz w:val="24"/>
        </w:rPr>
        <w:t xml:space="preserve"> </w:t>
      </w:r>
      <w:r>
        <w:rPr>
          <w:rFonts w:ascii="Times New Roman" w:hAnsi="Times New Roman"/>
          <w:sz w:val="24"/>
        </w:rPr>
        <w:t>Ç</w:t>
      </w:r>
      <w:r w:rsidRPr="00A94924">
        <w:rPr>
          <w:rFonts w:ascii="Times New Roman" w:hAnsi="Times New Roman"/>
          <w:sz w:val="24"/>
        </w:rPr>
        <w:t xml:space="preserve">ünkü tüm bu süreçler, çatışmada </w:t>
      </w:r>
      <w:r>
        <w:rPr>
          <w:rFonts w:ascii="Times New Roman" w:hAnsi="Times New Roman"/>
          <w:sz w:val="24"/>
        </w:rPr>
        <w:t>taraf olmu</w:t>
      </w:r>
      <w:r>
        <w:rPr>
          <w:rFonts w:ascii="Tahoma" w:hAnsi="Tahoma" w:cs="Tahoma"/>
          <w:sz w:val="24"/>
        </w:rPr>
        <w:t>ṣ</w:t>
      </w:r>
      <w:r>
        <w:rPr>
          <w:rFonts w:ascii="Times New Roman" w:hAnsi="Times New Roman"/>
          <w:sz w:val="24"/>
        </w:rPr>
        <w:t xml:space="preserve"> birey ve toplumların birbirlerine</w:t>
      </w:r>
      <w:r w:rsidRPr="00A94924">
        <w:rPr>
          <w:rFonts w:ascii="Times New Roman" w:hAnsi="Times New Roman"/>
          <w:sz w:val="24"/>
        </w:rPr>
        <w:t xml:space="preserve"> karşı psikolojik </w:t>
      </w:r>
      <w:r>
        <w:rPr>
          <w:rFonts w:ascii="Times New Roman" w:hAnsi="Times New Roman"/>
          <w:sz w:val="24"/>
        </w:rPr>
        <w:t>yakla</w:t>
      </w:r>
      <w:r>
        <w:rPr>
          <w:rFonts w:ascii="Tahoma" w:hAnsi="Tahoma" w:cs="Tahoma"/>
          <w:sz w:val="24"/>
        </w:rPr>
        <w:t>ṣ</w:t>
      </w:r>
      <w:r>
        <w:rPr>
          <w:rFonts w:ascii="Times New Roman" w:hAnsi="Times New Roman"/>
          <w:sz w:val="24"/>
        </w:rPr>
        <w:t>ım,</w:t>
      </w:r>
      <w:r w:rsidRPr="00A94924">
        <w:rPr>
          <w:rFonts w:ascii="Times New Roman" w:hAnsi="Times New Roman"/>
          <w:sz w:val="24"/>
        </w:rPr>
        <w:t xml:space="preserve"> </w:t>
      </w:r>
      <w:r>
        <w:rPr>
          <w:rFonts w:ascii="Times New Roman" w:hAnsi="Times New Roman"/>
          <w:sz w:val="24"/>
        </w:rPr>
        <w:t>t</w:t>
      </w:r>
      <w:r w:rsidRPr="00A94924">
        <w:rPr>
          <w:rFonts w:ascii="Times New Roman" w:hAnsi="Times New Roman"/>
          <w:sz w:val="24"/>
        </w:rPr>
        <w:t>utum ve davranışları</w:t>
      </w:r>
      <w:r>
        <w:rPr>
          <w:rFonts w:ascii="Times New Roman" w:hAnsi="Times New Roman"/>
          <w:sz w:val="24"/>
        </w:rPr>
        <w:t>n</w:t>
      </w:r>
      <w:r w:rsidRPr="00A94924">
        <w:rPr>
          <w:rFonts w:ascii="Times New Roman" w:hAnsi="Times New Roman"/>
          <w:sz w:val="24"/>
        </w:rPr>
        <w:t>da bir “değişiklik” içer</w:t>
      </w:r>
      <w:r>
        <w:rPr>
          <w:rFonts w:ascii="Times New Roman" w:hAnsi="Times New Roman"/>
          <w:sz w:val="24"/>
        </w:rPr>
        <w:t>mek zorundadır</w:t>
      </w:r>
      <w:r w:rsidRPr="00A94924">
        <w:rPr>
          <w:rFonts w:ascii="Times New Roman" w:hAnsi="Times New Roman"/>
          <w:sz w:val="24"/>
        </w:rPr>
        <w:t>. Staub, Pearlman, Gubin ve Hagegimana (2005)</w:t>
      </w:r>
      <w:r>
        <w:rPr>
          <w:rFonts w:ascii="Times New Roman" w:hAnsi="Times New Roman"/>
          <w:sz w:val="24"/>
        </w:rPr>
        <w:t xml:space="preserve"> geçmi</w:t>
      </w:r>
      <w:r>
        <w:rPr>
          <w:rFonts w:ascii="Tahoma" w:hAnsi="Tahoma" w:cs="Tahoma"/>
          <w:sz w:val="24"/>
        </w:rPr>
        <w:t>ṣ</w:t>
      </w:r>
      <w:r>
        <w:rPr>
          <w:rFonts w:ascii="Times New Roman" w:hAnsi="Times New Roman"/>
          <w:sz w:val="24"/>
        </w:rPr>
        <w:t>le yüzle</w:t>
      </w:r>
      <w:r>
        <w:rPr>
          <w:rFonts w:ascii="Tahoma" w:hAnsi="Tahoma" w:cs="Tahoma"/>
          <w:sz w:val="24"/>
        </w:rPr>
        <w:t>ṣ</w:t>
      </w:r>
      <w:r>
        <w:rPr>
          <w:rFonts w:ascii="Times New Roman" w:hAnsi="Times New Roman"/>
          <w:sz w:val="24"/>
        </w:rPr>
        <w:t>me ve affetmeyi t</w:t>
      </w:r>
      <w:r w:rsidRPr="00A94924">
        <w:rPr>
          <w:rFonts w:ascii="Times New Roman" w:hAnsi="Times New Roman"/>
          <w:sz w:val="24"/>
        </w:rPr>
        <w:t xml:space="preserve">ravmayı </w:t>
      </w:r>
      <w:r>
        <w:rPr>
          <w:rFonts w:ascii="Times New Roman" w:hAnsi="Times New Roman"/>
          <w:sz w:val="24"/>
        </w:rPr>
        <w:t>k</w:t>
      </w:r>
      <w:r w:rsidRPr="00A94924">
        <w:rPr>
          <w:rFonts w:ascii="Times New Roman" w:hAnsi="Times New Roman"/>
          <w:sz w:val="24"/>
        </w:rPr>
        <w:t>olaylaştıran bir yol olarak</w:t>
      </w:r>
      <w:r>
        <w:rPr>
          <w:rFonts w:ascii="Times New Roman" w:hAnsi="Times New Roman"/>
          <w:sz w:val="24"/>
        </w:rPr>
        <w:t xml:space="preserve"> görürler ve </w:t>
      </w:r>
      <w:r>
        <w:rPr>
          <w:rFonts w:ascii="Tahoma" w:hAnsi="Tahoma" w:cs="Tahoma"/>
          <w:sz w:val="24"/>
        </w:rPr>
        <w:t>ṣ</w:t>
      </w:r>
      <w:r>
        <w:rPr>
          <w:rFonts w:ascii="Times New Roman" w:hAnsi="Times New Roman"/>
          <w:sz w:val="24"/>
        </w:rPr>
        <w:t>öyle derler:</w:t>
      </w:r>
      <w:r w:rsidRPr="00A94924">
        <w:rPr>
          <w:rFonts w:ascii="Times New Roman" w:hAnsi="Times New Roman"/>
          <w:sz w:val="24"/>
        </w:rPr>
        <w:t xml:space="preserve"> “Affetme ve bağışlama, kızgınlıktan ve intikam alma isteğinden vazgeçmeyi, kurtulmayı içerir. Mağduriyet durumundan kaynaklanan acının üstesinden gelmede ve “mağdur” kimliğini bırakmakta yardımcı olur.” Bu yazarlar</w:t>
      </w:r>
      <w:r>
        <w:rPr>
          <w:rFonts w:ascii="Times New Roman" w:hAnsi="Times New Roman"/>
          <w:sz w:val="24"/>
        </w:rPr>
        <w:t>a göre</w:t>
      </w:r>
      <w:r w:rsidRPr="00A94924">
        <w:rPr>
          <w:rFonts w:ascii="Times New Roman" w:hAnsi="Times New Roman"/>
          <w:sz w:val="24"/>
        </w:rPr>
        <w:t xml:space="preserve"> affetme ve bağışlama kişisel bir süreç</w:t>
      </w:r>
      <w:r>
        <w:rPr>
          <w:rFonts w:ascii="Times New Roman" w:hAnsi="Times New Roman"/>
          <w:sz w:val="24"/>
        </w:rPr>
        <w:t>tir;</w:t>
      </w:r>
      <w:r w:rsidRPr="00A94924">
        <w:rPr>
          <w:rFonts w:ascii="Times New Roman" w:hAnsi="Times New Roman"/>
          <w:sz w:val="24"/>
        </w:rPr>
        <w:t xml:space="preserve"> zaman zaman tek taraflı da olabil</w:t>
      </w:r>
      <w:r>
        <w:rPr>
          <w:rFonts w:ascii="Times New Roman" w:hAnsi="Times New Roman"/>
          <w:sz w:val="24"/>
        </w:rPr>
        <w:t>ir</w:t>
      </w:r>
      <w:r w:rsidRPr="00A94924">
        <w:rPr>
          <w:rFonts w:ascii="Times New Roman" w:hAnsi="Times New Roman"/>
          <w:sz w:val="24"/>
        </w:rPr>
        <w:t xml:space="preserve"> ve sadece mağdurun duygularında ve tutumunda bir değişimi içerebili</w:t>
      </w:r>
      <w:r>
        <w:rPr>
          <w:rFonts w:ascii="Times New Roman" w:hAnsi="Times New Roman"/>
          <w:sz w:val="24"/>
        </w:rPr>
        <w:t>r, dolayısıyla</w:t>
      </w:r>
      <w:r w:rsidRPr="00A94924">
        <w:rPr>
          <w:rFonts w:ascii="Times New Roman" w:hAnsi="Times New Roman"/>
          <w:sz w:val="24"/>
        </w:rPr>
        <w:t xml:space="preserve"> affetme ve uzlaşma fark</w:t>
      </w:r>
      <w:r>
        <w:rPr>
          <w:rFonts w:ascii="Times New Roman" w:hAnsi="Times New Roman"/>
          <w:sz w:val="24"/>
        </w:rPr>
        <w:t>lı</w:t>
      </w:r>
      <w:r w:rsidRPr="00A94924">
        <w:rPr>
          <w:rFonts w:ascii="Times New Roman" w:hAnsi="Times New Roman"/>
          <w:sz w:val="24"/>
        </w:rPr>
        <w:t xml:space="preserve"> </w:t>
      </w:r>
      <w:r>
        <w:rPr>
          <w:rFonts w:ascii="Times New Roman" w:hAnsi="Times New Roman"/>
          <w:sz w:val="24"/>
        </w:rPr>
        <w:t>kavramlardır</w:t>
      </w:r>
      <w:r w:rsidRPr="00A94924">
        <w:rPr>
          <w:rFonts w:ascii="Times New Roman" w:hAnsi="Times New Roman"/>
          <w:sz w:val="24"/>
        </w:rPr>
        <w:t xml:space="preserve">. </w:t>
      </w:r>
      <w:r>
        <w:rPr>
          <w:rFonts w:ascii="Times New Roman" w:hAnsi="Times New Roman"/>
          <w:sz w:val="24"/>
        </w:rPr>
        <w:t>U</w:t>
      </w:r>
      <w:r w:rsidRPr="00A94924">
        <w:rPr>
          <w:rFonts w:ascii="Times New Roman" w:hAnsi="Times New Roman"/>
          <w:sz w:val="24"/>
        </w:rPr>
        <w:t xml:space="preserve">zlaşma, doğası gereği birden fazla </w:t>
      </w:r>
      <w:r>
        <w:rPr>
          <w:rFonts w:ascii="Times New Roman" w:hAnsi="Times New Roman"/>
          <w:sz w:val="24"/>
        </w:rPr>
        <w:t xml:space="preserve">tarafın </w:t>
      </w:r>
      <w:r w:rsidRPr="00A94924">
        <w:rPr>
          <w:rFonts w:ascii="Times New Roman" w:hAnsi="Times New Roman"/>
          <w:sz w:val="24"/>
        </w:rPr>
        <w:t xml:space="preserve">duygularında, tutumunda ve davranışında bir değişim </w:t>
      </w:r>
      <w:r>
        <w:rPr>
          <w:rFonts w:ascii="Times New Roman" w:hAnsi="Times New Roman"/>
          <w:sz w:val="24"/>
        </w:rPr>
        <w:t>gerekti</w:t>
      </w:r>
      <w:r w:rsidRPr="00A94924">
        <w:rPr>
          <w:rFonts w:ascii="Times New Roman" w:hAnsi="Times New Roman"/>
          <w:sz w:val="24"/>
        </w:rPr>
        <w:t xml:space="preserve">rir. Suçlu tarafın özür dilemesi affetme ve dolayısıyla barış için </w:t>
      </w:r>
      <w:r>
        <w:rPr>
          <w:rFonts w:ascii="Times New Roman" w:hAnsi="Times New Roman"/>
          <w:sz w:val="24"/>
        </w:rPr>
        <w:t>gerekli</w:t>
      </w:r>
      <w:r w:rsidRPr="00A94924">
        <w:rPr>
          <w:rFonts w:ascii="Times New Roman" w:hAnsi="Times New Roman"/>
          <w:sz w:val="24"/>
        </w:rPr>
        <w:t xml:space="preserve"> olmasa da bu sürecin başlamasını kolayla</w:t>
      </w:r>
      <w:r>
        <w:rPr>
          <w:rFonts w:ascii="Times New Roman" w:hAnsi="Times New Roman"/>
          <w:sz w:val="24"/>
        </w:rPr>
        <w:t xml:space="preserve">ştırıp hızlandırdığı kesindir. </w:t>
      </w:r>
      <w:r w:rsidRPr="00A94924">
        <w:rPr>
          <w:rFonts w:ascii="Times New Roman" w:hAnsi="Times New Roman"/>
          <w:sz w:val="24"/>
        </w:rPr>
        <w:t>Fakat kolektif bir özür için, suçluların pişmanlık veya üzgünlük hissetmesi şart olmayabilir.</w:t>
      </w:r>
      <w:r>
        <w:rPr>
          <w:rFonts w:ascii="Times New Roman" w:hAnsi="Times New Roman"/>
          <w:sz w:val="24"/>
        </w:rPr>
        <w:t xml:space="preserve"> T</w:t>
      </w:r>
      <w:r w:rsidRPr="00A94924">
        <w:rPr>
          <w:rFonts w:ascii="Times New Roman" w:hAnsi="Times New Roman"/>
          <w:sz w:val="24"/>
        </w:rPr>
        <w:t>oplu katliam</w:t>
      </w:r>
      <w:r>
        <w:rPr>
          <w:rFonts w:ascii="Times New Roman" w:hAnsi="Times New Roman"/>
          <w:sz w:val="24"/>
        </w:rPr>
        <w:t xml:space="preserve"> gibi </w:t>
      </w:r>
      <w:r>
        <w:rPr>
          <w:rFonts w:ascii="Tahoma" w:hAnsi="Tahoma" w:cs="Tahoma"/>
          <w:sz w:val="24"/>
        </w:rPr>
        <w:t>ṣ</w:t>
      </w:r>
      <w:r>
        <w:rPr>
          <w:rFonts w:ascii="Times New Roman" w:hAnsi="Times New Roman"/>
          <w:sz w:val="24"/>
        </w:rPr>
        <w:t>iddetli travmalar</w:t>
      </w:r>
      <w:r w:rsidRPr="00A94924">
        <w:rPr>
          <w:rFonts w:ascii="Times New Roman" w:hAnsi="Times New Roman"/>
          <w:sz w:val="24"/>
        </w:rPr>
        <w:t xml:space="preserve"> sonra</w:t>
      </w:r>
      <w:r>
        <w:rPr>
          <w:rFonts w:ascii="Times New Roman" w:hAnsi="Times New Roman"/>
          <w:sz w:val="24"/>
        </w:rPr>
        <w:t xml:space="preserve">sı </w:t>
      </w:r>
      <w:r w:rsidRPr="00A94924">
        <w:rPr>
          <w:rFonts w:ascii="Times New Roman" w:hAnsi="Times New Roman"/>
          <w:sz w:val="24"/>
        </w:rPr>
        <w:t>suçluların ve mağdurların beraber yaşamaya devam ettiği durum</w:t>
      </w:r>
      <w:r>
        <w:rPr>
          <w:rFonts w:ascii="Times New Roman" w:hAnsi="Times New Roman"/>
          <w:sz w:val="24"/>
        </w:rPr>
        <w:t>lar</w:t>
      </w:r>
      <w:r w:rsidRPr="00A94924">
        <w:rPr>
          <w:rFonts w:ascii="Times New Roman" w:hAnsi="Times New Roman"/>
          <w:sz w:val="24"/>
        </w:rPr>
        <w:t>da, affetme ve uzlaşma süreçlerinde ortak adım atma</w:t>
      </w:r>
      <w:r>
        <w:rPr>
          <w:rFonts w:ascii="Times New Roman" w:hAnsi="Times New Roman"/>
          <w:sz w:val="24"/>
        </w:rPr>
        <w:t>k</w:t>
      </w:r>
      <w:r w:rsidRPr="00A94924">
        <w:rPr>
          <w:rFonts w:ascii="Times New Roman" w:hAnsi="Times New Roman"/>
          <w:sz w:val="24"/>
        </w:rPr>
        <w:t xml:space="preserve"> gruplar arası olumlu ve barışçıl ili</w:t>
      </w:r>
      <w:r>
        <w:rPr>
          <w:rFonts w:ascii="Times New Roman" w:hAnsi="Times New Roman"/>
          <w:sz w:val="24"/>
        </w:rPr>
        <w:t>şkiler yaratmak için hayati önemdedir (</w:t>
      </w:r>
      <w:r w:rsidRPr="00A94924">
        <w:rPr>
          <w:rFonts w:ascii="Times New Roman" w:hAnsi="Times New Roman"/>
          <w:sz w:val="24"/>
        </w:rPr>
        <w:t>Staub 2006</w:t>
      </w:r>
      <w:r>
        <w:rPr>
          <w:rFonts w:ascii="Times New Roman" w:hAnsi="Times New Roman"/>
          <w:sz w:val="24"/>
        </w:rPr>
        <w:t>)</w:t>
      </w:r>
      <w:r w:rsidRPr="00A94924">
        <w:rPr>
          <w:rFonts w:ascii="Times New Roman" w:hAnsi="Times New Roman"/>
          <w:sz w:val="24"/>
        </w:rPr>
        <w:t xml:space="preserve">. </w:t>
      </w:r>
    </w:p>
    <w:p w:rsidR="008E1605" w:rsidRPr="00A94924" w:rsidRDefault="008E1605" w:rsidP="002F3764">
      <w:pPr>
        <w:autoSpaceDE w:val="0"/>
        <w:autoSpaceDN w:val="0"/>
        <w:adjustRightInd w:val="0"/>
        <w:spacing w:line="480" w:lineRule="auto"/>
        <w:ind w:firstLine="708"/>
        <w:jc w:val="both"/>
        <w:rPr>
          <w:rFonts w:ascii="Times New Roman" w:hAnsi="Times New Roman"/>
          <w:sz w:val="24"/>
        </w:rPr>
      </w:pPr>
      <w:r>
        <w:rPr>
          <w:rFonts w:ascii="Times New Roman" w:hAnsi="Times New Roman"/>
          <w:sz w:val="24"/>
        </w:rPr>
        <w:t>Peki sonuçta travmayı ya</w:t>
      </w:r>
      <w:r>
        <w:rPr>
          <w:rFonts w:ascii="Tahoma" w:hAnsi="Tahoma" w:cs="Tahoma"/>
          <w:sz w:val="24"/>
        </w:rPr>
        <w:t>ṣ</w:t>
      </w:r>
      <w:r>
        <w:rPr>
          <w:rFonts w:ascii="Times New Roman" w:hAnsi="Times New Roman"/>
          <w:sz w:val="24"/>
        </w:rPr>
        <w:t>ayan bireyse neden bireysel rehabilitasyon süreçlerini yeterli görmüyor, bunların toplumsal boyutlarından bahsediyoruz? Ya da mesela Avrupa Birliği sürecinde olduğu gibi bundan sonra ki</w:t>
      </w:r>
      <w:r>
        <w:rPr>
          <w:rFonts w:ascii="Tahoma" w:hAnsi="Tahoma" w:cs="Tahoma"/>
          <w:sz w:val="24"/>
        </w:rPr>
        <w:t>ṣ</w:t>
      </w:r>
      <w:r>
        <w:rPr>
          <w:rFonts w:ascii="Times New Roman" w:hAnsi="Times New Roman"/>
          <w:sz w:val="24"/>
        </w:rPr>
        <w:t>i ve grup haklarının korumasını garanti altına alan demokratik bir hayat istemekle yetinmiyoruz? Acılı geçmişin geride bırakılması ve bir daha ya</w:t>
      </w:r>
      <w:r>
        <w:rPr>
          <w:rFonts w:ascii="Tahoma" w:hAnsi="Tahoma" w:cs="Tahoma"/>
          <w:sz w:val="24"/>
        </w:rPr>
        <w:t>ṣ</w:t>
      </w:r>
      <w:r>
        <w:rPr>
          <w:rFonts w:ascii="Times New Roman" w:hAnsi="Times New Roman"/>
          <w:sz w:val="24"/>
        </w:rPr>
        <w:t>anmayacağına dair hissin olu</w:t>
      </w:r>
      <w:r>
        <w:rPr>
          <w:rFonts w:ascii="Tahoma" w:hAnsi="Tahoma" w:cs="Tahoma"/>
          <w:sz w:val="24"/>
        </w:rPr>
        <w:t>ṣ</w:t>
      </w:r>
      <w:r>
        <w:rPr>
          <w:rFonts w:ascii="Times New Roman" w:hAnsi="Times New Roman"/>
          <w:sz w:val="24"/>
        </w:rPr>
        <w:t>ması için t</w:t>
      </w:r>
      <w:r w:rsidRPr="00A94924">
        <w:rPr>
          <w:rFonts w:ascii="Times New Roman" w:hAnsi="Times New Roman"/>
          <w:sz w:val="24"/>
        </w:rPr>
        <w:t>oplumsal düzeyde önemli olan diğer faktörler adalet ve</w:t>
      </w:r>
      <w:r>
        <w:rPr>
          <w:rFonts w:ascii="Times New Roman" w:hAnsi="Times New Roman"/>
          <w:sz w:val="24"/>
        </w:rPr>
        <w:t xml:space="preserve"> çeşitli düzeylerde (birey-birey, birey-toplum ve birey-devlet arasında) tekrar tesis edilecek</w:t>
      </w:r>
      <w:r w:rsidRPr="00A94924">
        <w:rPr>
          <w:rFonts w:ascii="Times New Roman" w:hAnsi="Times New Roman"/>
          <w:sz w:val="24"/>
        </w:rPr>
        <w:t xml:space="preserve"> güven</w:t>
      </w:r>
      <w:r>
        <w:rPr>
          <w:rFonts w:ascii="Times New Roman" w:hAnsi="Times New Roman"/>
          <w:sz w:val="24"/>
        </w:rPr>
        <w:t xml:space="preserve"> hissidir</w:t>
      </w:r>
      <w:r w:rsidRPr="00A94924">
        <w:rPr>
          <w:rFonts w:ascii="Times New Roman" w:hAnsi="Times New Roman"/>
          <w:sz w:val="24"/>
        </w:rPr>
        <w:t>. Elcherorth</w:t>
      </w:r>
      <w:r>
        <w:rPr>
          <w:rFonts w:ascii="Times New Roman" w:hAnsi="Times New Roman"/>
          <w:sz w:val="24"/>
        </w:rPr>
        <w:t>’a göre</w:t>
      </w:r>
      <w:r w:rsidRPr="00A94924">
        <w:rPr>
          <w:rFonts w:ascii="Times New Roman" w:hAnsi="Times New Roman"/>
          <w:sz w:val="24"/>
        </w:rPr>
        <w:t xml:space="preserve"> </w:t>
      </w:r>
      <w:r>
        <w:rPr>
          <w:rFonts w:ascii="Times New Roman" w:hAnsi="Times New Roman"/>
          <w:sz w:val="24"/>
        </w:rPr>
        <w:t xml:space="preserve">çatışmaların toplam sonucu, sadece </w:t>
      </w:r>
      <w:r w:rsidRPr="00A94924">
        <w:rPr>
          <w:rFonts w:ascii="Times New Roman" w:hAnsi="Times New Roman"/>
          <w:sz w:val="24"/>
        </w:rPr>
        <w:t xml:space="preserve">bir toplumdaki </w:t>
      </w:r>
      <w:r>
        <w:rPr>
          <w:rFonts w:ascii="Times New Roman" w:hAnsi="Times New Roman"/>
          <w:sz w:val="24"/>
        </w:rPr>
        <w:t>bireylerin</w:t>
      </w:r>
      <w:r w:rsidRPr="00A94924">
        <w:rPr>
          <w:rFonts w:ascii="Times New Roman" w:hAnsi="Times New Roman"/>
          <w:sz w:val="24"/>
        </w:rPr>
        <w:t xml:space="preserve"> bireysel travma deneyimlerinin psikolojik sonuçlarının toplamı</w:t>
      </w:r>
      <w:r>
        <w:rPr>
          <w:rFonts w:ascii="Times New Roman" w:hAnsi="Times New Roman"/>
          <w:sz w:val="24"/>
        </w:rPr>
        <w:t xml:space="preserve"> olarak görülemez. Bu psikolojik sonuçlara karşı, bu gruplarda </w:t>
      </w:r>
      <w:r w:rsidRPr="00A94924">
        <w:rPr>
          <w:rFonts w:ascii="Times New Roman" w:hAnsi="Times New Roman"/>
          <w:sz w:val="24"/>
        </w:rPr>
        <w:t>ortak bir resmi adalet ihtiyacı</w:t>
      </w:r>
      <w:r>
        <w:rPr>
          <w:rFonts w:ascii="Times New Roman" w:hAnsi="Times New Roman"/>
          <w:sz w:val="24"/>
        </w:rPr>
        <w:t xml:space="preserve"> belirir</w:t>
      </w:r>
      <w:r w:rsidRPr="00A94924">
        <w:rPr>
          <w:rFonts w:ascii="Times New Roman" w:hAnsi="Times New Roman"/>
          <w:sz w:val="24"/>
        </w:rPr>
        <w:t xml:space="preserve">. </w:t>
      </w:r>
      <w:r>
        <w:rPr>
          <w:rFonts w:ascii="Times New Roman" w:hAnsi="Times New Roman"/>
          <w:sz w:val="24"/>
        </w:rPr>
        <w:t>Yani e</w:t>
      </w:r>
      <w:r w:rsidRPr="00A94924">
        <w:rPr>
          <w:rFonts w:ascii="Times New Roman" w:hAnsi="Times New Roman"/>
          <w:sz w:val="24"/>
        </w:rPr>
        <w:t>ğer bir grup, yaşadığı travmanın kendi grup kimliği ile ilgili olduğunu düşünürse, toplumsal adaletsizli</w:t>
      </w:r>
      <w:r>
        <w:rPr>
          <w:rFonts w:ascii="Times New Roman" w:hAnsi="Times New Roman"/>
          <w:sz w:val="24"/>
        </w:rPr>
        <w:t>kle sava</w:t>
      </w:r>
      <w:r>
        <w:rPr>
          <w:rFonts w:ascii="Tahoma" w:hAnsi="Tahoma" w:cs="Tahoma"/>
          <w:sz w:val="24"/>
        </w:rPr>
        <w:t>ṣ</w:t>
      </w:r>
      <w:r>
        <w:rPr>
          <w:rFonts w:ascii="Times New Roman" w:hAnsi="Times New Roman"/>
          <w:sz w:val="24"/>
        </w:rPr>
        <w:t>acak</w:t>
      </w:r>
      <w:r w:rsidRPr="00A94924">
        <w:rPr>
          <w:rFonts w:ascii="Times New Roman" w:hAnsi="Times New Roman"/>
          <w:sz w:val="24"/>
        </w:rPr>
        <w:t xml:space="preserve"> bir adalet sistemi, </w:t>
      </w:r>
      <w:r>
        <w:rPr>
          <w:rFonts w:ascii="Times New Roman" w:hAnsi="Times New Roman"/>
          <w:sz w:val="24"/>
        </w:rPr>
        <w:t xml:space="preserve">toplumsal bir anma aracı </w:t>
      </w:r>
      <w:r w:rsidRPr="00A94924">
        <w:rPr>
          <w:rFonts w:ascii="Times New Roman" w:hAnsi="Times New Roman"/>
          <w:sz w:val="24"/>
        </w:rPr>
        <w:t xml:space="preserve">ve böyle bir deneyimin tekrar yaşanmayacağına dair resmi bir garanti talep edebilir. Benzer olarak, travmatik bir olaydan sonra toplumlar arasında, bireyler ve şiddet uygulayan failler arasında ve vatandaşlar ve kurumlar arasında güven duygusunun oluşturulması </w:t>
      </w:r>
      <w:r>
        <w:rPr>
          <w:rFonts w:ascii="Times New Roman" w:hAnsi="Times New Roman"/>
          <w:sz w:val="24"/>
        </w:rPr>
        <w:t>mutlaktır</w:t>
      </w:r>
      <w:r w:rsidRPr="00A94924">
        <w:rPr>
          <w:rFonts w:ascii="Times New Roman" w:hAnsi="Times New Roman"/>
          <w:sz w:val="24"/>
        </w:rPr>
        <w:t xml:space="preserve">. </w:t>
      </w:r>
    </w:p>
    <w:p w:rsidR="008E1605" w:rsidRDefault="008E1605" w:rsidP="00BC33BA">
      <w:pPr>
        <w:spacing w:line="480" w:lineRule="auto"/>
        <w:ind w:firstLine="540"/>
        <w:rPr>
          <w:rFonts w:ascii="Times New Roman" w:hAnsi="Times New Roman"/>
          <w:sz w:val="24"/>
          <w:szCs w:val="24"/>
        </w:rPr>
      </w:pPr>
      <w:r w:rsidRPr="00BC33BA">
        <w:rPr>
          <w:rFonts w:ascii="Times New Roman" w:hAnsi="Times New Roman"/>
          <w:sz w:val="24"/>
          <w:szCs w:val="24"/>
        </w:rPr>
        <w:t xml:space="preserve">Kalıcı barış ve toplumsal mutabakat için </w:t>
      </w:r>
      <w:r>
        <w:rPr>
          <w:rFonts w:ascii="Times New Roman" w:hAnsi="Times New Roman"/>
          <w:sz w:val="24"/>
          <w:szCs w:val="24"/>
        </w:rPr>
        <w:t>deği</w:t>
      </w:r>
      <w:r>
        <w:rPr>
          <w:rFonts w:ascii="Tahoma" w:hAnsi="Tahoma" w:cs="Tahoma"/>
          <w:sz w:val="24"/>
          <w:szCs w:val="24"/>
        </w:rPr>
        <w:t>ṣ</w:t>
      </w:r>
      <w:r>
        <w:rPr>
          <w:rFonts w:ascii="Times New Roman" w:hAnsi="Times New Roman"/>
          <w:sz w:val="24"/>
          <w:szCs w:val="24"/>
        </w:rPr>
        <w:t xml:space="preserve">ik kesimlerden </w:t>
      </w:r>
      <w:r w:rsidRPr="00BC33BA">
        <w:rPr>
          <w:rFonts w:ascii="Times New Roman" w:hAnsi="Times New Roman"/>
          <w:sz w:val="24"/>
          <w:szCs w:val="24"/>
        </w:rPr>
        <w:t>taraflar bir araya</w:t>
      </w:r>
      <w:r>
        <w:rPr>
          <w:rFonts w:ascii="Times New Roman" w:hAnsi="Times New Roman"/>
          <w:sz w:val="24"/>
          <w:szCs w:val="24"/>
        </w:rPr>
        <w:t xml:space="preserve"> </w:t>
      </w:r>
      <w:r w:rsidRPr="00BC33BA">
        <w:rPr>
          <w:rFonts w:ascii="Times New Roman" w:hAnsi="Times New Roman"/>
          <w:sz w:val="24"/>
          <w:szCs w:val="24"/>
        </w:rPr>
        <w:t>getirilmeli, barışçıl ve güven verici ilişkiler kurmaları yeniden sağlanmalıdır. As</w:t>
      </w:r>
      <w:r>
        <w:rPr>
          <w:rFonts w:ascii="Times New Roman" w:hAnsi="Times New Roman"/>
          <w:sz w:val="24"/>
          <w:szCs w:val="24"/>
        </w:rPr>
        <w:t>l</w:t>
      </w:r>
      <w:r w:rsidRPr="00BC33BA">
        <w:rPr>
          <w:rFonts w:ascii="Times New Roman" w:hAnsi="Times New Roman"/>
          <w:sz w:val="24"/>
          <w:szCs w:val="24"/>
        </w:rPr>
        <w:t>ı</w:t>
      </w:r>
      <w:r>
        <w:rPr>
          <w:rFonts w:ascii="Times New Roman" w:hAnsi="Times New Roman"/>
          <w:sz w:val="24"/>
          <w:szCs w:val="24"/>
        </w:rPr>
        <w:t>nda</w:t>
      </w:r>
      <w:r w:rsidRPr="00BC33BA">
        <w:rPr>
          <w:rFonts w:ascii="Times New Roman" w:hAnsi="Times New Roman"/>
          <w:sz w:val="24"/>
          <w:szCs w:val="24"/>
        </w:rPr>
        <w:t xml:space="preserve"> toplumsal mutabakat son derece zor ve yavaş işleyen bir süreçtir. Bu süreç, çok çeşitli şekillerde olabilir. Adalet ve barışın yeniden oluşturulması Güney Afrika ve Latin Amerika örneklerinde rastlanacağı gibi Hakikat Komisyonları yoluyla olabileceği gibi toplumsal hafızanın çatışmalı alanlarda yeniden kurulmasını sağlayacak küçük projelerle de olabilir. (mesela belli bir toplumsal olaydaki gerçeklerin gösterilmesi ve hak</w:t>
      </w:r>
      <w:r>
        <w:rPr>
          <w:rFonts w:ascii="Times New Roman" w:hAnsi="Times New Roman"/>
          <w:sz w:val="24"/>
          <w:szCs w:val="24"/>
        </w:rPr>
        <w:t>sız</w:t>
      </w:r>
      <w:r w:rsidRPr="00BC33BA">
        <w:rPr>
          <w:rFonts w:ascii="Times New Roman" w:hAnsi="Times New Roman"/>
          <w:sz w:val="24"/>
          <w:szCs w:val="24"/>
        </w:rPr>
        <w:t>lığa uğramışların anılması için yapılan müzeler)</w:t>
      </w:r>
      <w:r>
        <w:rPr>
          <w:rFonts w:ascii="Times New Roman" w:hAnsi="Times New Roman"/>
          <w:sz w:val="24"/>
          <w:szCs w:val="24"/>
        </w:rPr>
        <w:t>. Aslında başarılı toplumsal mutabakat süreçleri bu deği</w:t>
      </w:r>
      <w:r>
        <w:rPr>
          <w:rFonts w:ascii="Tahoma" w:hAnsi="Tahoma" w:cs="Tahoma"/>
          <w:sz w:val="24"/>
          <w:szCs w:val="24"/>
        </w:rPr>
        <w:t>ş</w:t>
      </w:r>
      <w:r>
        <w:rPr>
          <w:rFonts w:ascii="Times New Roman" w:hAnsi="Times New Roman"/>
          <w:sz w:val="24"/>
          <w:szCs w:val="24"/>
        </w:rPr>
        <w:t>ik modelleri çeşitli seviyelerde ve farklı aktörleri bir araya getirerek işletebilen süreçlerdir.  Çünkü toplumsal travmayı atlatmak bir yandan geçmi</w:t>
      </w:r>
      <w:r>
        <w:rPr>
          <w:rFonts w:ascii="Tahoma" w:hAnsi="Tahoma" w:cs="Tahoma"/>
          <w:sz w:val="24"/>
          <w:szCs w:val="24"/>
        </w:rPr>
        <w:t>ṣ</w:t>
      </w:r>
      <w:r>
        <w:rPr>
          <w:rFonts w:ascii="Times New Roman" w:hAnsi="Times New Roman"/>
          <w:sz w:val="24"/>
          <w:szCs w:val="24"/>
        </w:rPr>
        <w:t>le yüzle</w:t>
      </w:r>
      <w:r>
        <w:rPr>
          <w:rFonts w:ascii="Tahoma" w:hAnsi="Tahoma" w:cs="Tahoma"/>
          <w:sz w:val="24"/>
          <w:szCs w:val="24"/>
        </w:rPr>
        <w:t>ṣ</w:t>
      </w:r>
      <w:r>
        <w:rPr>
          <w:rFonts w:ascii="Times New Roman" w:hAnsi="Times New Roman"/>
          <w:sz w:val="24"/>
          <w:szCs w:val="24"/>
        </w:rPr>
        <w:t>mek ve onu geride bırakmayı gerektirirken bir yandan da yeni ve daha güzel bir geleceği hayal etmeyi gerektirir.</w:t>
      </w:r>
    </w:p>
    <w:p w:rsidR="008E1605" w:rsidRPr="003F6D7E" w:rsidRDefault="008E1605" w:rsidP="00BC33BA">
      <w:pPr>
        <w:spacing w:line="480" w:lineRule="auto"/>
        <w:ind w:firstLine="540"/>
        <w:rPr>
          <w:rFonts w:ascii="Times New Roman" w:hAnsi="Times New Roman"/>
          <w:color w:val="333333"/>
          <w:sz w:val="24"/>
          <w:szCs w:val="24"/>
          <w:shd w:val="clear" w:color="auto" w:fill="FFFFFF"/>
        </w:rPr>
      </w:pPr>
      <w:r>
        <w:rPr>
          <w:rFonts w:ascii="Times New Roman" w:hAnsi="Times New Roman"/>
          <w:sz w:val="24"/>
          <w:szCs w:val="24"/>
        </w:rPr>
        <w:t xml:space="preserve">Bu açıdan bakıldığında 25-26 Mayıs’da Ankara’da gerçekleşen Barış ve Demokrasi Konferansı toplumsal mutabakat adına çok önemli dersler vermektedir. Özellikle konferansın ‘Hakikat, Yüzleşme ve Adalet’ toplantısının sonuçları gösteriyor ki Kürt Meselesi kendine has sebepleri ve dolayısıyla kendine has yüzleşme, adalet ve grup güvenliğine ait meseleleri olmakla birlikte Türkiye Cumhuriyet’i tarihinin başka birçok etnik ve azınlık gruplarına dair </w:t>
      </w:r>
      <w:r w:rsidRPr="007C7DCC">
        <w:rPr>
          <w:rFonts w:ascii="Times New Roman" w:hAnsi="Times New Roman"/>
          <w:sz w:val="24"/>
          <w:szCs w:val="24"/>
        </w:rPr>
        <w:t xml:space="preserve">de konuşulması gereken önemli bir geçmişle yüzleşme sorunu vardır. Sonuç bildirisinin, </w:t>
      </w:r>
      <w:r w:rsidRPr="001B6A5C">
        <w:rPr>
          <w:rFonts w:ascii="Times New Roman" w:hAnsi="Times New Roman"/>
          <w:sz w:val="24"/>
          <w:szCs w:val="24"/>
        </w:rPr>
        <w:t>“</w:t>
      </w:r>
      <w:r w:rsidRPr="001B6A5C">
        <w:rPr>
          <w:rFonts w:ascii="Times New Roman" w:hAnsi="Times New Roman"/>
          <w:sz w:val="24"/>
          <w:szCs w:val="24"/>
          <w:shd w:val="clear" w:color="auto" w:fill="FFFFFF"/>
        </w:rPr>
        <w:t>Yüzleşmemiz gerekenler, öteki saydıklarımızın ve kendimizin duyguları, yaşantıları, suçlarımız, travmalarımız ve acılarımızdır. Dönüp dolaşıp bir bütün olarak kendimizle, kimleri nasıl incittiğimizle ya da ne tür incinmişlikler yaşadığımızla yüzleşmeliyiz” kısmı, bu açıdan özellikle önemlidir. Bu kadar sancılı geçmişe sahip bir ülkede demokratikleşme süreci bu tür geçmişi konuşma pratiklerinin önünü açacak şekilde şekillenmelidir. Öte yandan, bu açılan yoldan giderken Kürt Meselesinin kendine has yüzleşme gereksinmeleri unutulmamalıdır. Bu bağlamda, fail mağdur (insan hakları ihlalleri yaşamış ve uygulamış olanlar arasında); grup-grup (korucu-köylü) ve devlet-toplum arası geçmişle yüzleşme, adaletin tesisi ve özür mekanizmalarının devreye sokulması gereklidir. Fakat, tüm bunları tamamlayıcı ve bir yaşanmasına engel olacak en önemli konu toplumsal güvenin tesisidir. Toplumsal güven, hem devlet ve vatandaşı arasında hem de yıllarca süren savaş sonucu değişik görüşler geliştirmiş halklar arasında oluşturulmak zorundadır.</w:t>
      </w:r>
      <w:r>
        <w:rPr>
          <w:rFonts w:ascii="Times New Roman" w:hAnsi="Times New Roman"/>
          <w:sz w:val="24"/>
          <w:szCs w:val="24"/>
          <w:shd w:val="clear" w:color="auto" w:fill="FFFFFF"/>
        </w:rPr>
        <w:t xml:space="preserve"> KONDA ile geçen yıl Türkiye çapında yaptığımız bir çalışma göstermiştir ki toplumda ötekileşme çeşitli boyutlarda ve bireyler “öteki” olarak tanımladıklarını birebir değil medyadan gördükleri imajlarıyla tanımaktadırlar. Yine Gezi parkı olaylarının gösterdiği medyanın yansıttığı dünyanın çarpıtılmış, saklanmış ya da abartılı olabileceğidir. Bu olaylara müteakip belki de ilk defa çoğu Türkün, Kürtlerin acılı tarihi hakkında ne kadar da bilgisiz ve sağır olduklarıyla yüzleşme imkânının doğmuş olmasıdır. </w:t>
      </w:r>
    </w:p>
    <w:p w:rsidR="008E1605" w:rsidRDefault="008E1605" w:rsidP="00467F0A">
      <w:pPr>
        <w:spacing w:line="480" w:lineRule="auto"/>
        <w:ind w:firstLine="540"/>
        <w:rPr>
          <w:rFonts w:ascii="Times New Roman" w:hAnsi="Times New Roman"/>
          <w:sz w:val="24"/>
          <w:szCs w:val="24"/>
        </w:rPr>
      </w:pPr>
      <w:r>
        <w:rPr>
          <w:rFonts w:ascii="Times New Roman" w:hAnsi="Times New Roman"/>
          <w:sz w:val="24"/>
          <w:szCs w:val="24"/>
        </w:rPr>
        <w:t>Sonuç olarak, çatışmalı dönemin acılı geçmişiyle yüzleşirken hem Kürt meselesindeki hem de daha büyük bir mesele olan “biz kimiz” sorusunu cevaplarken tüm aktörlerin sürece dahil olması azami önemdedir. K</w:t>
      </w:r>
      <w:r w:rsidRPr="00BC33BA">
        <w:rPr>
          <w:rFonts w:ascii="Times New Roman" w:hAnsi="Times New Roman"/>
          <w:sz w:val="24"/>
          <w:szCs w:val="24"/>
        </w:rPr>
        <w:t xml:space="preserve">alıcı barış, </w:t>
      </w:r>
      <w:r>
        <w:rPr>
          <w:rFonts w:ascii="Times New Roman" w:hAnsi="Times New Roman"/>
          <w:sz w:val="24"/>
          <w:szCs w:val="24"/>
        </w:rPr>
        <w:t>bir yandan kurumların demokratikleşmesini ve müzakerelerin sürmesini, bir yandan da algıların</w:t>
      </w:r>
      <w:r w:rsidRPr="00BC33BA">
        <w:rPr>
          <w:rFonts w:ascii="Times New Roman" w:hAnsi="Times New Roman"/>
          <w:sz w:val="24"/>
          <w:szCs w:val="24"/>
        </w:rPr>
        <w:t xml:space="preserve"> değiştiği, güvenin sağlandığı ve adaletin teslim edildiği bir toplum</w:t>
      </w:r>
      <w:r>
        <w:rPr>
          <w:rFonts w:ascii="Times New Roman" w:hAnsi="Times New Roman"/>
          <w:sz w:val="24"/>
          <w:szCs w:val="24"/>
        </w:rPr>
        <w:t>sal değişimi</w:t>
      </w:r>
      <w:r w:rsidRPr="00BC33BA">
        <w:rPr>
          <w:rFonts w:ascii="Times New Roman" w:hAnsi="Times New Roman"/>
          <w:sz w:val="24"/>
          <w:szCs w:val="24"/>
        </w:rPr>
        <w:t xml:space="preserve"> gerektirir. </w:t>
      </w:r>
      <w:bookmarkEnd w:id="0"/>
    </w:p>
    <w:p w:rsidR="008E1605" w:rsidRDefault="008E1605" w:rsidP="00DC2035">
      <w:pPr>
        <w:pStyle w:val="EndnoteText"/>
        <w:ind w:left="720"/>
        <w:jc w:val="both"/>
        <w:rPr>
          <w:sz w:val="20"/>
          <w:szCs w:val="20"/>
        </w:rPr>
      </w:pPr>
      <w:r>
        <w:t>Bibliografya:</w:t>
      </w:r>
      <w:r w:rsidRPr="00616D9F">
        <w:rPr>
          <w:sz w:val="20"/>
          <w:szCs w:val="20"/>
        </w:rPr>
        <w:t xml:space="preserve"> </w:t>
      </w:r>
    </w:p>
    <w:p w:rsidR="008E1605" w:rsidRPr="00DC2035" w:rsidRDefault="008E1605" w:rsidP="00DC2035">
      <w:pPr>
        <w:pStyle w:val="EndnoteText"/>
        <w:numPr>
          <w:ilvl w:val="0"/>
          <w:numId w:val="13"/>
        </w:numPr>
        <w:jc w:val="both"/>
        <w:rPr>
          <w:sz w:val="20"/>
          <w:szCs w:val="20"/>
        </w:rPr>
      </w:pPr>
      <w:r w:rsidRPr="00DC2035">
        <w:t>Assefa,</w:t>
      </w:r>
      <w:r>
        <w:t xml:space="preserve"> H (2001).</w:t>
      </w:r>
      <w:r w:rsidRPr="00DC2035">
        <w:t xml:space="preserve"> </w:t>
      </w:r>
      <w:r>
        <w:t>“</w:t>
      </w:r>
      <w:r w:rsidRPr="00DC2035">
        <w:t>Reconciliation</w:t>
      </w:r>
      <w:r>
        <w:t>”</w:t>
      </w:r>
      <w:r w:rsidRPr="00DC2035">
        <w:t xml:space="preserve"> Reychler, L. </w:t>
      </w:r>
      <w:r>
        <w:t>ve</w:t>
      </w:r>
      <w:r w:rsidRPr="00DC2035">
        <w:t xml:space="preserve"> Paffenholz, T. (</w:t>
      </w:r>
      <w:r>
        <w:t>der</w:t>
      </w:r>
      <w:r w:rsidRPr="00DC2035">
        <w:t xml:space="preserve">.), </w:t>
      </w:r>
      <w:r w:rsidRPr="00DC2035">
        <w:rPr>
          <w:i/>
        </w:rPr>
        <w:t>Peacebuilding: A Field Guide</w:t>
      </w:r>
      <w:r w:rsidRPr="00DC2035">
        <w:t xml:space="preserve">. Lynne Rienner, Boulder </w:t>
      </w:r>
      <w:r>
        <w:t>ve</w:t>
      </w:r>
      <w:r w:rsidRPr="00DC2035">
        <w:t xml:space="preserve"> Lond</w:t>
      </w:r>
      <w:r>
        <w:t>ra</w:t>
      </w:r>
      <w:r w:rsidRPr="00DC2035">
        <w:t xml:space="preserve">, </w:t>
      </w:r>
      <w:r>
        <w:t>s</w:t>
      </w:r>
      <w:r w:rsidRPr="00DC2035">
        <w:t>. 336-342.</w:t>
      </w:r>
    </w:p>
    <w:p w:rsidR="008E1605" w:rsidRPr="003864EC" w:rsidRDefault="008E1605" w:rsidP="00616D9F">
      <w:pPr>
        <w:pStyle w:val="EndnoteText"/>
        <w:numPr>
          <w:ilvl w:val="1"/>
          <w:numId w:val="12"/>
        </w:numPr>
        <w:jc w:val="both"/>
      </w:pPr>
      <w:r w:rsidRPr="003864EC">
        <w:rPr>
          <w:lang w:val="en-GB"/>
        </w:rPr>
        <w:t>Elcherorth, G. (2006). “</w:t>
      </w:r>
      <w:r w:rsidRPr="003864EC">
        <w:t xml:space="preserve">Individual-level and community-level effects of war trauma on social representations related to humanitarian law.” </w:t>
      </w:r>
      <w:r w:rsidRPr="003864EC">
        <w:rPr>
          <w:i/>
        </w:rPr>
        <w:t>European Journal of Social Psychology</w:t>
      </w:r>
      <w:r w:rsidRPr="003864EC">
        <w:t>, 36, s. 907-930.</w:t>
      </w:r>
    </w:p>
    <w:p w:rsidR="008E1605" w:rsidRPr="003864EC" w:rsidRDefault="008E1605" w:rsidP="00616D9F">
      <w:pPr>
        <w:pStyle w:val="EndnoteText"/>
        <w:numPr>
          <w:ilvl w:val="1"/>
          <w:numId w:val="12"/>
        </w:numPr>
        <w:jc w:val="both"/>
      </w:pPr>
      <w:r w:rsidRPr="003864EC">
        <w:t xml:space="preserve">Galtung, J. (1969). “Violence, Peace and Peace Research,” </w:t>
      </w:r>
      <w:r w:rsidRPr="003864EC">
        <w:rPr>
          <w:i/>
        </w:rPr>
        <w:t>Journal of Peace Research</w:t>
      </w:r>
      <w:r w:rsidRPr="003864EC">
        <w:t>, Vol. 6(3), s. 167-191.</w:t>
      </w:r>
    </w:p>
    <w:p w:rsidR="008E1605" w:rsidRPr="003864EC" w:rsidRDefault="008E1605" w:rsidP="00616D9F">
      <w:pPr>
        <w:pStyle w:val="EndnoteText"/>
        <w:numPr>
          <w:ilvl w:val="1"/>
          <w:numId w:val="12"/>
        </w:numPr>
        <w:jc w:val="both"/>
      </w:pPr>
      <w:r w:rsidRPr="003864EC">
        <w:t xml:space="preserve">Kantowitz, R (2006). </w:t>
      </w:r>
      <w:r w:rsidRPr="003864EC">
        <w:rPr>
          <w:i/>
          <w:lang w:val="en-GB"/>
        </w:rPr>
        <w:t>Healing systems: A multi-level model of trauma in Guatemala</w:t>
      </w:r>
      <w:r w:rsidRPr="003864EC">
        <w:rPr>
          <w:lang w:val="en-GB"/>
        </w:rPr>
        <w:t>. Yayınlanmamış Doktora Tezi: Columbia University.</w:t>
      </w:r>
    </w:p>
    <w:p w:rsidR="008E1605" w:rsidRPr="003864EC" w:rsidRDefault="008E1605" w:rsidP="00616D9F">
      <w:pPr>
        <w:pStyle w:val="EndnoteText"/>
        <w:numPr>
          <w:ilvl w:val="1"/>
          <w:numId w:val="12"/>
        </w:numPr>
        <w:jc w:val="both"/>
      </w:pPr>
      <w:r w:rsidRPr="003864EC">
        <w:rPr>
          <w:lang w:val="en-GB"/>
        </w:rPr>
        <w:t xml:space="preserve">Kriesberg, L. (2001). </w:t>
      </w:r>
      <w:r w:rsidRPr="003864EC">
        <w:t xml:space="preserve">“Changing Form of Coexistence,” Abu-Nimer, M. (der.). </w:t>
      </w:r>
      <w:r w:rsidRPr="003864EC">
        <w:rPr>
          <w:i/>
          <w:iCs/>
        </w:rPr>
        <w:t>Reconciliation, Justice and Co-Existence: Theory and Practice</w:t>
      </w:r>
      <w:r w:rsidRPr="003864EC">
        <w:t>. Lanham, MD: Lexington Books, pp. 47-64.</w:t>
      </w:r>
    </w:p>
    <w:p w:rsidR="008E1605" w:rsidRPr="003864EC" w:rsidRDefault="008E1605" w:rsidP="00616D9F">
      <w:pPr>
        <w:pStyle w:val="EndnoteText"/>
        <w:numPr>
          <w:ilvl w:val="1"/>
          <w:numId w:val="12"/>
        </w:numPr>
        <w:jc w:val="both"/>
      </w:pPr>
      <w:r w:rsidRPr="003864EC">
        <w:rPr>
          <w:lang w:val="en-GB"/>
        </w:rPr>
        <w:t xml:space="preserve">Lederach, J. P. (1998). </w:t>
      </w:r>
      <w:r w:rsidRPr="003864EC">
        <w:rPr>
          <w:i/>
          <w:iCs/>
          <w:lang w:val="en-GB"/>
        </w:rPr>
        <w:t>Building peace: Sustainable reconciliation in divided societies</w:t>
      </w:r>
      <w:r w:rsidRPr="003864EC">
        <w:rPr>
          <w:lang w:val="en-GB"/>
        </w:rPr>
        <w:t>. Washington D.C., United States Institute of Peace, s.30-31</w:t>
      </w:r>
    </w:p>
    <w:p w:rsidR="008E1605" w:rsidRPr="003864EC" w:rsidRDefault="008E1605" w:rsidP="00987F73">
      <w:pPr>
        <w:pStyle w:val="EndnoteText"/>
        <w:numPr>
          <w:ilvl w:val="1"/>
          <w:numId w:val="12"/>
        </w:numPr>
        <w:jc w:val="both"/>
      </w:pPr>
      <w:r w:rsidRPr="003864EC">
        <w:t>Staub, E (2006). “</w:t>
      </w:r>
      <w:r w:rsidRPr="003864EC">
        <w:rPr>
          <w:color w:val="333333"/>
        </w:rPr>
        <w:t>Reconciliation after genocide, mass killing, or intractable conflict: Understanding the roots of violence, psychological recovery, and steps toward a general theory.”</w:t>
      </w:r>
      <w:r w:rsidRPr="003864EC">
        <w:rPr>
          <w:i/>
          <w:color w:val="333333"/>
        </w:rPr>
        <w:t xml:space="preserve"> Political Psychology, 27</w:t>
      </w:r>
      <w:r w:rsidRPr="003864EC">
        <w:rPr>
          <w:color w:val="333333"/>
        </w:rPr>
        <w:t xml:space="preserve">, s. 867 – 894. </w:t>
      </w:r>
    </w:p>
    <w:p w:rsidR="008E1605" w:rsidRPr="00616D9F" w:rsidRDefault="008E1605" w:rsidP="00616D9F">
      <w:pPr>
        <w:pStyle w:val="EndnoteText"/>
        <w:numPr>
          <w:ilvl w:val="1"/>
          <w:numId w:val="12"/>
        </w:numPr>
        <w:jc w:val="both"/>
      </w:pPr>
      <w:r w:rsidRPr="003864EC">
        <w:t xml:space="preserve"> </w:t>
      </w:r>
      <w:r w:rsidRPr="003864EC">
        <w:rPr>
          <w:lang w:val="en-GB"/>
        </w:rPr>
        <w:t xml:space="preserve">Staub, E.,  Pearlman, L., Gubin, A.  ve A. Hagengimana (2005).  “Healing, reconciliation, forgiving and the prevention of violence after genocide or mass killing: An intervention and its experimental evaluation in Rwanda.” </w:t>
      </w:r>
      <w:r w:rsidRPr="003864EC">
        <w:rPr>
          <w:i/>
          <w:lang w:val="en-GB"/>
        </w:rPr>
        <w:t>Journal of Social and Clinical Psychology</w:t>
      </w:r>
      <w:r w:rsidRPr="003864EC">
        <w:rPr>
          <w:lang w:val="en-GB"/>
        </w:rPr>
        <w:t xml:space="preserve">, </w:t>
      </w:r>
      <w:r w:rsidRPr="003864EC">
        <w:rPr>
          <w:i/>
          <w:lang w:val="en-GB"/>
        </w:rPr>
        <w:t>24 (3)</w:t>
      </w:r>
      <w:r w:rsidRPr="003864EC">
        <w:rPr>
          <w:lang w:val="en-GB"/>
        </w:rPr>
        <w:t>, s. 297-334</w:t>
      </w:r>
      <w:r w:rsidRPr="003864EC">
        <w:t xml:space="preserve">. </w:t>
      </w:r>
    </w:p>
    <w:p w:rsidR="008E1605" w:rsidRPr="00616D9F" w:rsidRDefault="008E1605" w:rsidP="00467F0A">
      <w:pPr>
        <w:spacing w:line="480" w:lineRule="auto"/>
        <w:ind w:firstLine="540"/>
        <w:rPr>
          <w:sz w:val="24"/>
          <w:szCs w:val="24"/>
        </w:rPr>
      </w:pPr>
    </w:p>
    <w:sectPr w:rsidR="008E1605" w:rsidRPr="00616D9F" w:rsidSect="00D333E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605" w:rsidRDefault="008E1605" w:rsidP="007F4286">
      <w:pPr>
        <w:spacing w:after="0" w:line="240" w:lineRule="auto"/>
      </w:pPr>
      <w:r>
        <w:separator/>
      </w:r>
    </w:p>
  </w:endnote>
  <w:endnote w:type="continuationSeparator" w:id="0">
    <w:p w:rsidR="008E1605" w:rsidRDefault="008E1605" w:rsidP="007F4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Microsoft Sans Serif">
    <w:panose1 w:val="020B0604020202020204"/>
    <w:charset w:val="A2"/>
    <w:family w:val="swiss"/>
    <w:pitch w:val="variable"/>
    <w:sig w:usb0="61002BDF" w:usb1="80000000" w:usb2="00000008" w:usb3="00000000" w:csb0="000101FF" w:csb1="00000000"/>
  </w:font>
  <w:font w:name="Tahoma">
    <w:panose1 w:val="020B0604030504040204"/>
    <w:charset w:val="A2"/>
    <w:family w:val="swiss"/>
    <w:pitch w:val="variable"/>
    <w:sig w:usb0="61002A87" w:usb1="80000000" w:usb2="00000008" w:usb3="00000000" w:csb0="000101FF" w:csb1="00000000"/>
  </w:font>
  <w:font w:name="Garamond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05" w:rsidRDefault="008E1605">
    <w:pPr>
      <w:pStyle w:val="Footer"/>
      <w:jc w:val="right"/>
    </w:pPr>
    <w:fldSimple w:instr=" PAGE   \* MERGEFORMAT ">
      <w:r>
        <w:rPr>
          <w:noProof/>
        </w:rPr>
        <w:t>1</w:t>
      </w:r>
    </w:fldSimple>
  </w:p>
  <w:p w:rsidR="008E1605" w:rsidRDefault="008E16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605" w:rsidRDefault="008E1605" w:rsidP="007F4286">
      <w:pPr>
        <w:spacing w:after="0" w:line="240" w:lineRule="auto"/>
      </w:pPr>
      <w:r>
        <w:separator/>
      </w:r>
    </w:p>
  </w:footnote>
  <w:footnote w:type="continuationSeparator" w:id="0">
    <w:p w:rsidR="008E1605" w:rsidRDefault="008E1605" w:rsidP="007F4286">
      <w:pPr>
        <w:spacing w:after="0" w:line="240" w:lineRule="auto"/>
      </w:pPr>
      <w:r>
        <w:continuationSeparator/>
      </w:r>
    </w:p>
  </w:footnote>
  <w:footnote w:id="1">
    <w:p w:rsidR="008E1605" w:rsidRDefault="008E1605">
      <w:pPr>
        <w:pStyle w:val="FootnoteText"/>
      </w:pPr>
      <w:r w:rsidRPr="007E2749">
        <w:rPr>
          <w:rStyle w:val="FootnoteReference"/>
          <w:rFonts w:ascii="Times New Roman" w:hAnsi="Times New Roman"/>
        </w:rPr>
        <w:footnoteRef/>
      </w:r>
      <w:r w:rsidRPr="007E2749">
        <w:rPr>
          <w:rFonts w:ascii="Times New Roman" w:hAnsi="Times New Roman"/>
        </w:rPr>
        <w:t xml:space="preserve"> Johan Galtung tarafından literatüre giren bu iki tür şiddetin direkt olanın kişinin bedensel bütünlüğüne yönelik öldürme, gasp, işkence, tecavüz gibi şiddet formlarından bahsederken yapısal şiddette kişilerin ya da grupların kendi potansiyellerinde hayatlarını devam ettirebilecek kaynaklara ulaşmanın önünün kesilmesinden bahsediyoruzn (Galtung 1969). Dolayısıyla yapısal şiddet içersinde fakirlik, ırkçılık, cinsiyetçilik gibi kimlikler üzerinden bazı grupların ayrımcılığa uğraması kadar toplumsal kaynakların bireylerin hakettikleri düzeyde yaşaması içim seferber edilememesi durumları da sayılabilir.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44F"/>
    <w:multiLevelType w:val="hybridMultilevel"/>
    <w:tmpl w:val="DA9AF5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DA09A7"/>
    <w:multiLevelType w:val="hybridMultilevel"/>
    <w:tmpl w:val="FCD406F6"/>
    <w:lvl w:ilvl="0" w:tplc="910C0CC4">
      <w:start w:val="1"/>
      <w:numFmt w:val="lowerLetter"/>
      <w:lvlText w:val="%1)"/>
      <w:lvlJc w:val="left"/>
      <w:pPr>
        <w:tabs>
          <w:tab w:val="num" w:pos="1725"/>
        </w:tabs>
        <w:ind w:left="1725" w:hanging="1005"/>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
    <w:nsid w:val="16AD292B"/>
    <w:multiLevelType w:val="hybridMultilevel"/>
    <w:tmpl w:val="3BEEAE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2D3D22"/>
    <w:multiLevelType w:val="hybridMultilevel"/>
    <w:tmpl w:val="E74AB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7023D75"/>
    <w:multiLevelType w:val="hybridMultilevel"/>
    <w:tmpl w:val="04E8885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293A41A6"/>
    <w:multiLevelType w:val="hybridMultilevel"/>
    <w:tmpl w:val="8B60659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3FE35E0"/>
    <w:multiLevelType w:val="hybridMultilevel"/>
    <w:tmpl w:val="158622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6316F8"/>
    <w:multiLevelType w:val="hybridMultilevel"/>
    <w:tmpl w:val="D3F27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6753C52"/>
    <w:multiLevelType w:val="hybridMultilevel"/>
    <w:tmpl w:val="71DC79BE"/>
    <w:lvl w:ilvl="0" w:tplc="CCE64A0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9">
    <w:nsid w:val="54C72849"/>
    <w:multiLevelType w:val="hybridMultilevel"/>
    <w:tmpl w:val="6A7A4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DCF68E6"/>
    <w:multiLevelType w:val="hybridMultilevel"/>
    <w:tmpl w:val="68A017D6"/>
    <w:lvl w:ilvl="0" w:tplc="5DF6173A">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1">
    <w:nsid w:val="727710AB"/>
    <w:multiLevelType w:val="hybridMultilevel"/>
    <w:tmpl w:val="5BDEB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8175C08"/>
    <w:multiLevelType w:val="hybridMultilevel"/>
    <w:tmpl w:val="C14C3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9"/>
  </w:num>
  <w:num w:numId="5">
    <w:abstractNumId w:val="12"/>
  </w:num>
  <w:num w:numId="6">
    <w:abstractNumId w:val="2"/>
  </w:num>
  <w:num w:numId="7">
    <w:abstractNumId w:val="7"/>
  </w:num>
  <w:num w:numId="8">
    <w:abstractNumId w:val="3"/>
  </w:num>
  <w:num w:numId="9">
    <w:abstractNumId w:val="11"/>
  </w:num>
  <w:num w:numId="10">
    <w:abstractNumId w:val="6"/>
  </w:num>
  <w:num w:numId="11">
    <w:abstractNumId w:val="0"/>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59B"/>
    <w:rsid w:val="000641A0"/>
    <w:rsid w:val="000841AE"/>
    <w:rsid w:val="001226A0"/>
    <w:rsid w:val="001363C2"/>
    <w:rsid w:val="001570D0"/>
    <w:rsid w:val="001B6A5C"/>
    <w:rsid w:val="001E6FDA"/>
    <w:rsid w:val="00277AE9"/>
    <w:rsid w:val="00285A0F"/>
    <w:rsid w:val="002921CF"/>
    <w:rsid w:val="002937F3"/>
    <w:rsid w:val="002C2E9D"/>
    <w:rsid w:val="002E259B"/>
    <w:rsid w:val="002F3764"/>
    <w:rsid w:val="002F5848"/>
    <w:rsid w:val="0031020C"/>
    <w:rsid w:val="00335D09"/>
    <w:rsid w:val="003864EC"/>
    <w:rsid w:val="003B4FC3"/>
    <w:rsid w:val="003E5B6F"/>
    <w:rsid w:val="003F6D7E"/>
    <w:rsid w:val="00410F12"/>
    <w:rsid w:val="004453CD"/>
    <w:rsid w:val="00447157"/>
    <w:rsid w:val="0046397A"/>
    <w:rsid w:val="00467F0A"/>
    <w:rsid w:val="004B6A69"/>
    <w:rsid w:val="004C2E54"/>
    <w:rsid w:val="004C4B62"/>
    <w:rsid w:val="004C5109"/>
    <w:rsid w:val="004C6867"/>
    <w:rsid w:val="00530146"/>
    <w:rsid w:val="00541738"/>
    <w:rsid w:val="00541EA7"/>
    <w:rsid w:val="00546FAF"/>
    <w:rsid w:val="005F6774"/>
    <w:rsid w:val="00610A39"/>
    <w:rsid w:val="00616D9F"/>
    <w:rsid w:val="00641907"/>
    <w:rsid w:val="00657FDA"/>
    <w:rsid w:val="006B266F"/>
    <w:rsid w:val="006E73A2"/>
    <w:rsid w:val="006F461E"/>
    <w:rsid w:val="00710747"/>
    <w:rsid w:val="00753DE5"/>
    <w:rsid w:val="007918F1"/>
    <w:rsid w:val="007963E6"/>
    <w:rsid w:val="007B5625"/>
    <w:rsid w:val="007C081F"/>
    <w:rsid w:val="007C4A4F"/>
    <w:rsid w:val="007C6AA3"/>
    <w:rsid w:val="007C7DCC"/>
    <w:rsid w:val="007D3609"/>
    <w:rsid w:val="007E2749"/>
    <w:rsid w:val="007E2FF8"/>
    <w:rsid w:val="007E6AAE"/>
    <w:rsid w:val="007F4286"/>
    <w:rsid w:val="008530D5"/>
    <w:rsid w:val="00864FF1"/>
    <w:rsid w:val="008A7168"/>
    <w:rsid w:val="008D203B"/>
    <w:rsid w:val="008D21CC"/>
    <w:rsid w:val="008E1605"/>
    <w:rsid w:val="0090535F"/>
    <w:rsid w:val="009301CF"/>
    <w:rsid w:val="00943225"/>
    <w:rsid w:val="00957293"/>
    <w:rsid w:val="009611D4"/>
    <w:rsid w:val="00987F73"/>
    <w:rsid w:val="009D6DCF"/>
    <w:rsid w:val="00A0060C"/>
    <w:rsid w:val="00A045F5"/>
    <w:rsid w:val="00A45C52"/>
    <w:rsid w:val="00A67F87"/>
    <w:rsid w:val="00A73C7D"/>
    <w:rsid w:val="00A765B2"/>
    <w:rsid w:val="00A94924"/>
    <w:rsid w:val="00AB7AE6"/>
    <w:rsid w:val="00AC14B7"/>
    <w:rsid w:val="00AD6127"/>
    <w:rsid w:val="00B46B99"/>
    <w:rsid w:val="00B55633"/>
    <w:rsid w:val="00B97DB1"/>
    <w:rsid w:val="00BB0150"/>
    <w:rsid w:val="00BC33BA"/>
    <w:rsid w:val="00BE5007"/>
    <w:rsid w:val="00C04F77"/>
    <w:rsid w:val="00C11A3F"/>
    <w:rsid w:val="00C5661C"/>
    <w:rsid w:val="00C7455A"/>
    <w:rsid w:val="00C81A80"/>
    <w:rsid w:val="00CA0C76"/>
    <w:rsid w:val="00CD200B"/>
    <w:rsid w:val="00CD5BB1"/>
    <w:rsid w:val="00CD6EEF"/>
    <w:rsid w:val="00CE20F8"/>
    <w:rsid w:val="00CE74F4"/>
    <w:rsid w:val="00D333EC"/>
    <w:rsid w:val="00D56236"/>
    <w:rsid w:val="00D57290"/>
    <w:rsid w:val="00D735C5"/>
    <w:rsid w:val="00DC2035"/>
    <w:rsid w:val="00DF6CAB"/>
    <w:rsid w:val="00EC6F9B"/>
    <w:rsid w:val="00F01ED0"/>
    <w:rsid w:val="00F13338"/>
    <w:rsid w:val="00F20E1E"/>
    <w:rsid w:val="00F63734"/>
    <w:rsid w:val="00F96886"/>
    <w:rsid w:val="00F96D5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E259B"/>
    <w:pPr>
      <w:spacing w:after="0" w:line="480" w:lineRule="auto"/>
    </w:pPr>
    <w:rPr>
      <w:rFonts w:ascii="Times New Roman" w:eastAsia="Times New Roman" w:hAnsi="Times New Roman"/>
      <w:szCs w:val="20"/>
      <w:lang w:val="en-US"/>
    </w:rPr>
  </w:style>
  <w:style w:type="character" w:customStyle="1" w:styleId="BodyTextChar">
    <w:name w:val="Body Text Char"/>
    <w:basedOn w:val="DefaultParagraphFont"/>
    <w:link w:val="BodyText"/>
    <w:uiPriority w:val="99"/>
    <w:locked/>
    <w:rsid w:val="002E259B"/>
    <w:rPr>
      <w:rFonts w:ascii="Times New Roman" w:hAnsi="Times New Roman" w:cs="Times New Roman"/>
      <w:sz w:val="20"/>
      <w:szCs w:val="20"/>
      <w:lang w:val="en-US"/>
    </w:rPr>
  </w:style>
  <w:style w:type="character" w:styleId="EndnoteReference">
    <w:name w:val="endnote reference"/>
    <w:basedOn w:val="DefaultParagraphFont"/>
    <w:uiPriority w:val="99"/>
    <w:semiHidden/>
    <w:rsid w:val="001363C2"/>
    <w:rPr>
      <w:rFonts w:cs="Times New Roman"/>
      <w:vertAlign w:val="superscript"/>
    </w:rPr>
  </w:style>
  <w:style w:type="paragraph" w:styleId="BodyText3">
    <w:name w:val="Body Text 3"/>
    <w:basedOn w:val="Normal"/>
    <w:link w:val="BodyText3Char"/>
    <w:uiPriority w:val="99"/>
    <w:rsid w:val="001363C2"/>
    <w:pPr>
      <w:spacing w:after="120" w:line="240" w:lineRule="auto"/>
    </w:pPr>
    <w:rPr>
      <w:rFonts w:ascii="Times New Roman" w:eastAsia="Times New Roman" w:hAnsi="Times New Roman"/>
      <w:sz w:val="16"/>
      <w:szCs w:val="16"/>
      <w:lang w:eastAsia="tr-TR"/>
    </w:rPr>
  </w:style>
  <w:style w:type="character" w:customStyle="1" w:styleId="BodyText3Char">
    <w:name w:val="Body Text 3 Char"/>
    <w:basedOn w:val="DefaultParagraphFont"/>
    <w:link w:val="BodyText3"/>
    <w:uiPriority w:val="99"/>
    <w:locked/>
    <w:rsid w:val="001363C2"/>
    <w:rPr>
      <w:rFonts w:ascii="Times New Roman" w:hAnsi="Times New Roman" w:cs="Times New Roman"/>
      <w:sz w:val="16"/>
      <w:szCs w:val="16"/>
      <w:lang w:eastAsia="tr-TR"/>
    </w:rPr>
  </w:style>
  <w:style w:type="paragraph" w:styleId="EndnoteText">
    <w:name w:val="endnote text"/>
    <w:basedOn w:val="Normal"/>
    <w:link w:val="EndnoteTextChar"/>
    <w:uiPriority w:val="99"/>
    <w:semiHidden/>
    <w:rsid w:val="001363C2"/>
    <w:pPr>
      <w:spacing w:after="0" w:line="240" w:lineRule="auto"/>
    </w:pPr>
    <w:rPr>
      <w:rFonts w:ascii="Times New Roman" w:eastAsia="Times New Roman" w:hAnsi="Times New Roman"/>
      <w:sz w:val="24"/>
      <w:szCs w:val="24"/>
      <w:lang w:val="en-US"/>
    </w:rPr>
  </w:style>
  <w:style w:type="character" w:customStyle="1" w:styleId="EndnoteTextChar">
    <w:name w:val="Endnote Text Char"/>
    <w:basedOn w:val="DefaultParagraphFont"/>
    <w:link w:val="EndnoteText"/>
    <w:uiPriority w:val="99"/>
    <w:semiHidden/>
    <w:locked/>
    <w:rsid w:val="001363C2"/>
    <w:rPr>
      <w:rFonts w:ascii="Times New Roman" w:hAnsi="Times New Roman" w:cs="Times New Roman"/>
      <w:sz w:val="24"/>
      <w:szCs w:val="24"/>
      <w:lang w:val="en-US"/>
    </w:rPr>
  </w:style>
  <w:style w:type="paragraph" w:styleId="ListParagraph">
    <w:name w:val="List Paragraph"/>
    <w:basedOn w:val="Normal"/>
    <w:uiPriority w:val="99"/>
    <w:qFormat/>
    <w:rsid w:val="00B55633"/>
    <w:pPr>
      <w:ind w:left="720"/>
      <w:contextualSpacing/>
    </w:pPr>
  </w:style>
  <w:style w:type="table" w:styleId="TableGrid">
    <w:name w:val="Table Grid"/>
    <w:basedOn w:val="TableNormal"/>
    <w:uiPriority w:val="99"/>
    <w:rsid w:val="004453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7F428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7F4286"/>
    <w:rPr>
      <w:rFonts w:cs="Times New Roman"/>
    </w:rPr>
  </w:style>
  <w:style w:type="paragraph" w:styleId="Footer">
    <w:name w:val="footer"/>
    <w:basedOn w:val="Normal"/>
    <w:link w:val="FooterChar"/>
    <w:uiPriority w:val="99"/>
    <w:rsid w:val="007F428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F4286"/>
    <w:rPr>
      <w:rFonts w:cs="Times New Roman"/>
    </w:rPr>
  </w:style>
  <w:style w:type="paragraph" w:styleId="FootnoteText">
    <w:name w:val="footnote text"/>
    <w:basedOn w:val="Normal"/>
    <w:link w:val="FootnoteTextChar"/>
    <w:uiPriority w:val="99"/>
    <w:semiHidden/>
    <w:rsid w:val="007E274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E2749"/>
    <w:rPr>
      <w:rFonts w:cs="Times New Roman"/>
      <w:sz w:val="20"/>
      <w:szCs w:val="20"/>
    </w:rPr>
  </w:style>
  <w:style w:type="character" w:styleId="FootnoteReference">
    <w:name w:val="footnote reference"/>
    <w:basedOn w:val="DefaultParagraphFont"/>
    <w:uiPriority w:val="99"/>
    <w:semiHidden/>
    <w:rsid w:val="007E274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2012</Words>
  <Characters>11474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KÜRT MESELESİNE TOPLUMSAL MUTABAKAT AÇISINDAN BİR BAKIŞ</dc:title>
  <dc:subject/>
  <dc:creator>hp</dc:creator>
  <cp:keywords/>
  <dc:description/>
  <cp:lastModifiedBy>Ayşe Betül Çelik</cp:lastModifiedBy>
  <cp:revision>4</cp:revision>
  <dcterms:created xsi:type="dcterms:W3CDTF">2013-07-29T13:30:00Z</dcterms:created>
  <dcterms:modified xsi:type="dcterms:W3CDTF">2013-08-26T08:29:00Z</dcterms:modified>
</cp:coreProperties>
</file>